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87R419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individual graduation committees and other alternative methods to satisfy certain public high school graduation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12.104(b-2) and (b-3),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(b-2)</w:t>
      </w:r>
      <w:r xml:space="preserve">
        <w:t> </w:t>
      </w:r>
      <w:r xml:space="preserve">
        <w:t> </w:t>
      </w:r>
      <w:r>
        <w:t xml:space="preserve">An open-enrollment charter school is subject to the requirement to establish an individual graduation committee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(b-3)</w:t>
      </w:r>
      <w:r xml:space="preserve">
        <w:t> </w:t>
      </w:r>
      <w:r xml:space="preserve">
        <w:t> </w:t>
      </w:r>
      <w:r>
        <w:t xml:space="preserve">An open-enrollment charter school is subject to the graduation qualification procedure established by the commissioner under Section 28.02541.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28.025(c-6),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(c-6)</w:t>
      </w:r>
      <w:r xml:space="preserve">
        <w:t> </w:t>
      </w:r>
      <w:r xml:space="preserve">
        <w:t> </w:t>
      </w:r>
      <w:r>
        <w:t xml:space="preserve">Notwithstanding Subsection (c), a person may receive a diploma if the person is eligible for a diploma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28.02591(a),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Texas Higher Education Coordinating Board, in coordination with the agency, shall collect longitudinal data relating to the post-graduation pursuits of each student who is awarded a diploma based on the determination of an individual graduation committee under Section 28.0258, [</w:t>
      </w:r>
      <w:r>
        <w:rPr>
          <w:strike/>
        </w:rPr>
        <w:t xml:space="preserve">as that section existed before September 1, 2023,</w:t>
      </w:r>
      <w:r>
        <w:t xml:space="preserve">] including whether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enters the workforce;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enrolls in an associate degree or certificate program at 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enrolls in a bachelor's degree program at a public or private institution of higher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enlists in the armed forces of the United States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39.025(a-3) and (a-5),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(a-3)</w:t>
      </w:r>
      <w:r xml:space="preserve">
        <w:t> </w:t>
      </w:r>
      <w:r xml:space="preserve">
        <w:t> </w:t>
      </w:r>
      <w:r>
        <w:t xml:space="preserve">A student who, after retaking an end-of-course assessment instrument for Algebra I or English II, has failed to perform satisfactorily as required by Subsection (a), but who receives a score of proficient on the Texas Success Initiative (TSI) diagnostic assessment for the corresponding subject for which the student failed to perform satisfactorily on the end-of-course assessment instrument satisfies the requirement concerning the Algebra I or English II end-of-course assessment, as applicable.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(a-5)</w:t>
      </w:r>
      <w:r xml:space="preserve">
        <w:t> </w:t>
      </w:r>
      <w:r xml:space="preserve">
        <w:t> </w:t>
      </w:r>
      <w:r>
        <w:t xml:space="preserve">Notwithstanding Subsection (a), a student who has failed to perform satisfactorily on end-of-course assessment instruments in the manner provided under this section may receive a high school diploma if the student has qualified for graduation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28.02541(g), 28.0258(l), and 28.0259(e), Education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