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87R21495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for certain public school teachers and principals to attend a literacy achievement academy or otherwise demonstrate proficiency in reading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28.0062(a),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school district and open-enrollment charter school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for the use of a phonics curriculum that uses systematic direct instruction in kindergarten through third grade to ensure all students obtain necessary early literacy skills;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the </w:t>
      </w:r>
      <w:r>
        <w:rPr>
          <w:u w:val="single"/>
        </w:rPr>
        <w:t xml:space="preserve">2023-2024</w:t>
      </w:r>
      <w:r>
        <w:t xml:space="preserve"> [</w:t>
      </w:r>
      <w:r>
        <w:rPr>
          <w:strike/>
        </w:rPr>
        <w:t xml:space="preserve">2021-2022</w:t>
      </w:r>
      <w:r>
        <w:t xml:space="preserve">] school year, each classroom teacher in kindergarten or first, second, or third grade and each principal at a campus with kindergarten or first, second, or third grade has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attended a teacher literacy achievement academy developed under Section 21.4552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demonstrated proficiency in the science of teaching reading on a certification examination in accordance with rules adopted under Section 21.048(a-2)</w:t>
      </w:r>
      <w: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classroom teacher and each principal initially employed in a grade level or at a campus described by Paragraph (A) for the </w:t>
      </w:r>
      <w:r>
        <w:rPr>
          <w:u w:val="single"/>
        </w:rPr>
        <w:t xml:space="preserve">2023-2024</w:t>
      </w:r>
      <w:r>
        <w:t xml:space="preserve"> [</w:t>
      </w:r>
      <w:r>
        <w:rPr>
          <w:strike/>
        </w:rPr>
        <w:t xml:space="preserve">2021-2022</w:t>
      </w:r>
      <w:r>
        <w:t xml:space="preserve">] school year or a subsequent school year has attended a teacher literacy achievement academy developed under Section 21.4552 before the teacher's or principal's first year of placement in that grade level or campus;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certify to the agency that the district or school: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prioritizes placement of highly effective teachers in kindergarten through second grade;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integrated reading instruments used to diagnose reading development and comprehension to support each student in prekindergarten through third grade.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