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87R6238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technologies to supervise a defendant placed on community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42A.001(3),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"Electronic monitoring" includes voice tracking systems, position tracking systems, position location systems, biometric tracking systems, </w:t>
      </w:r>
      <w:r>
        <w:rPr>
          <w:u w:val="single"/>
        </w:rPr>
        <w:t xml:space="preserve">mobile applications,</w:t>
      </w:r>
      <w:r>
        <w:t xml:space="preserve"> and any other electronic or telecommunications system that may be used to assist in the supervision of defendants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76.019,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76.019.</w:t>
      </w:r>
      <w:r xml:space="preserve">
        <w:t> </w:t>
      </w:r>
      <w:r xml:space="preserve">
        <w:t> </w:t>
      </w:r>
      <w:r>
        <w:t xml:space="preserve">SUPERVISION OFFICER MEETINGS AND VISITS</w:t>
      </w:r>
      <w:r>
        <w:rPr>
          <w:u w:val="single"/>
        </w:rPr>
        <w:t xml:space="preserve">; ELECTRONIC MONITORING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76.019, Government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 may use electronic monitoring, as defined by Article 42A.001, Code of Criminal Procedure, to conduct  virtual check-ins of the defendant in lieu of in-person check-ins.  The electronic monitoring may include the use of a biometric mobile application with remote check-in capability that provides verifiable location data of the defendant at the time of the virtual check-in.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messages and videoconferences between a defendant and an officer supervising the defendant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saved as a permanent electronic record;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encrypted;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compliant with the Health Insurance Portability and Accountability Act of 1996 (42 U.S.C. Section 1320d et seq.);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incapable of being deleted or altered by the defendant or the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509.011,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may not reduce the amount of funding payable to a department under Subsection (a) based on the department's use of videoconference technology in lieu of in-person meetings or visits with a defendant or use of electronic monitoring of the defendant as provided by Section 76.019.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