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87R3919 MWC-D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Lucio III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credit scoring information by an insurer during and after a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559, Insurance Code, is amended by adding Section 559.104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559.104.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DISASTERS.  (a)  An insurer may not increase an insured's premium or take an action that results in an adverse effect based on a factor on a consumer's credit report or change in a consumer's credit score that occurs during: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period that a disaster declaration under Chapter 418, Government Code, is in effect for the area in which the consumer's residence is located;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two-year period following the date the disaster declaration expires or is terminated.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insurer is not out of compliance with any law or rule relating to underwriting, rating, or rate filing as a result of complying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