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87R5729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Raney, Darby</w:t>
      </w:r>
      <w:r xml:space="preserve">
        <w:tab wTab="150" tlc="none" cTlc="0"/>
      </w:r>
      <w:r>
        <w:t xml:space="preserve">H.B.</w:t>
      </w:r>
      <w:r xml:space="preserve">
        <w:t> </w:t>
      </w:r>
      <w:r>
        <w:t xml:space="preserve">No.</w:t>
      </w:r>
      <w:r xml:space="preserve">
        <w:t> </w:t>
      </w:r>
      <w:r>
        <w:t xml:space="preserve">1631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an application for a permit to manage wildlife and exotic animals from aircraft;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Parks and Wildlife Code, is amended by adding</w:t>
      </w:r>
      <w:r>
        <w:t xml:space="preserve"> </w:t>
      </w:r>
      <w:r>
        <w:t xml:space="preserve">Section 43.1055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43.1055.</w:t>
      </w:r>
      <w:r>
        <w:rPr>
          <w:u w:val="single"/>
        </w:rPr>
        <w:t xml:space="preserve"> </w:t>
      </w:r>
      <w:r>
        <w:rPr>
          <w:u w:val="single"/>
        </w:rPr>
        <w:t xml:space="preserve"> </w:t>
      </w:r>
      <w:r>
        <w:rPr>
          <w:u w:val="single"/>
        </w:rPr>
        <w:t xml:space="preserve">MAP SUBMITTED WITH PERMIT APPLICATION.  (a)  In this section, "georeferenced map" means a map image incorporating a system of geographic ground coordinates, including latitude and longitude and Universal Transverse Mercator coordinates.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described by Subsection (d), an applicant for a permit under this subchapter shall submit with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georeferenced map in a format prescribed by the department showing the exact boundaries of the property where the management of wildlife or exotic animals is to be performed;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map in a format prescribed by the department clearly indicating the location and boundaries of the property where the management of wildlife or exotic animals is to be performed and the fee established by the commission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signed, written statement stating that the map or georeferenced map provided under Subdivision (1) is true and correct.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a fee in an amount reasonably necessary to cover the cost of converting a map described by Subsection (b)(1)(B) to a georeferenced map.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maintain a record of all maps submitted under this section.  The department may not require an applicant to submit a map of a property for which a map has previously been submitted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