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87R1077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1639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body worn cameras by correctional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493, Government Code, is amended by adding Section 493.034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493.034.</w:t>
      </w:r>
      <w:r>
        <w:rPr>
          <w:u w:val="single"/>
        </w:rPr>
        <w:t xml:space="preserve"> </w:t>
      </w:r>
      <w:r>
        <w:rPr>
          <w:u w:val="single"/>
        </w:rPr>
        <w:t xml:space="preserve"> </w:t>
      </w:r>
      <w:r>
        <w:rPr>
          <w:u w:val="single"/>
        </w:rPr>
        <w:t xml:space="preserve">BODY WORN CAMERA POLICY.  (a)  In this section, "body worn camera" has the meaning assigned by Section 1701.651,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adopt a policy for the use of body worn cameras by correctional officers at facilities operated by or under contract with the department.  The policy must require that each correctional officer be equipped with a body worn camera during the officer's shift and require each officer to keep the camera activated during the performance of the officer's duties.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511.009,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require the sheriff of each county to adopt a policy for the use of body worn cameras by correctional officers at each county jail within the sheriff's jurisdiction.  A policy adopted under this subsection must require that each correctional officer be equipped with a body worn camera during the officer's shift and require each officer to keep the camera activated during the performance of the officer's duties.  For purposes of this subsection, "body worn camera" has the meaning assigned by Section 1701.651,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Texas Department of Criminal Justice shall adopt the policy required by Section 493.034, Government Code, as added by this Act, not later than January 1, 2022.</w:t>
      </w:r>
    </w:p>
    <w:p w:rsidR="003F3435" w:rsidRDefault="0032493E">
      <w:pPr>
        <w:spacing w:line="480" w:lineRule="auto"/>
        <w:ind w:firstLine="720"/>
        <w:jc w:val="both"/>
      </w:pPr>
      <w:r>
        <w:t xml:space="preserve">(b)</w:t>
      </w:r>
      <w:r xml:space="preserve">
        <w:t> </w:t>
      </w:r>
      <w:r xml:space="preserve">
        <w:t> </w:t>
      </w:r>
      <w:r>
        <w:t xml:space="preserve">The Commission on Jail Standards shall require the sheriff of each county to adopt the policy required by Section 511.009(f), Government Code, as added by this Act, not later than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