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Walle, Crockett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eviction case information for evictions related to the COVID-19 pandemic.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24, Property Code, is amended by adding Sections 24.012 and 24.013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EVICTION CASE INFORMATION FOR EVICTIONS RELATED TO COVID-19 PANDEMIC.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case" means a lawsuit brought under this chapter to recover possession of leased or rented residential real property from a tenant.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 information" means all records and files related to a filing of an eviction case, including petitions and dispositions.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an eviction case: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brought under this chapter for nonpayment of rent: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state of disaster declared by the governor under Section 418.014, Government Code, related to the coronavirus disease (COVID-19) pandemic;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the 180th day after the date of termination of that state of disaster;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against a defendant who files with the court a statement that the defendant's nonpayment of rent was due to financial hardship caused by the pandemic;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an order making the eviction case information confidential has not been entered under Section 24.013.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clerk shall allow access to eviction case information only: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 party to the action, including a party's attorney;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any person if a final, nonappealable judgment in the case was entered for the plaintiff.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to the extent permitted by federal law, a credit reporting agency, a person who regularly collects and disseminates eviction case information, or a person who sells eviction case information may only use eviction case information if access is permitted under Subsection (c)(2).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prohibit the court from issuing an order that bars access to eviction case information if the parties to the case so stipulate.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an eviction case: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based on actions of the tenant that create an imminent threat to the health or safety of the landlord, a member of the landlord's or tenant's household, other tenants, or neighbors;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was dismissed because the tenant had vacated the leased property after the filing of the complaint but before trial.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EVICTION CASE INFORMATION FOR EVICTIONS RELATED TO COVID-19 PANDEMIC.  (a)  In this section, "eviction case" and "eviction case information" have the meanings assigned by Section 24.012.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an eviction case to which Section 24.012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final judgment or dismissal in an eviction case or on petition of a defendant in an eviction case after a final judgment or dismissal in the case, a court shall enter an order making the eviction case information pertaining to the defendant confidential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judgment is or was entered in favor of the defendant;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eviction case is or was dismissed without any relief granted to the plaintiff;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or was a tenant not otherwise in default and the eviction case was brought by the landlord's successor in interest following foreclosure;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three years have elapsed from the date of the final judgment in the eviction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final judgment or dismissal in an eviction case or on petition of a defendant in an eviction case after a final judgment or dismissal in the case, a court may enter an order making the eviction case information pertaining to the defendant confidential if the court finds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 is in the interest of justice;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interest of justice is not outweighed by the public's interest in knowing the eviction case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order is entered making the eviction case information pertaining to a defendant confidential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courts or court clerks shall delete or redact all index references to the name of the defendant that relate to the eviction case information from the public records;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to the extent permitted by federal law, a credit reporting agency, a person who regularly collects and disseminates eviction case information, or a person who sells eviction case information may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the existence of the eviction case;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eviction case information as a factor in determining a score or recommendation in a tenant screening report regarding the defendant.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knowingly violates Subsection (e)(2) is liable to an injured party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exemplary damages of $1,000;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 and court costs.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41.004(a), Civil Practice and Remedies Code, a court shall award exemplary damages under Subsection (f)(2) to the injured party irrespective of whether the party is awarded actual damages.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supreme court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2022, the Texas Supreme Court shall adopt the rules necessary to implement Sections 24.012 and 24.013, Property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