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87R16484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Walle, Crockett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1647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1647: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Ordaz Perez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1647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confidentiality of eviction case information for evictions related to the COVID-19 pandemic.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24, Property Code, is amended by adding Sections 24.012 and 24.013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TO EVICTION CASE INFORMATION FOR EVICTIONS RELATED TO COVID-19 PANDEMIC.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"Eviction case" means a lawsuit brought under this chapter to recover possession of leased or rented residential real property from a tenant.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"Eviction case information" means all records and files related to a filing of an eviction case, including petitions and dispositions.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an eviction case: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brought under this chapter for nonpayment of rent: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a state of disaster declared by the governor under Section 418.014, Government Code, related to the coronavirus disease (COVID-19) pandemic;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the 180th day after the date of termination of that state of disaster;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against a defendant who files with the court a statement that the defendant's nonpayment of rent was due to financial hardship caused by the pandemic;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an order making the eviction case information confidential has not been entered under Section 24.013.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clerk shall allow access to eviction case information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a party to the action, including a party's attorney;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any person if a final, nonappealable judgment in the case was entered for the plaintiff.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to the extent permitted by federal law, a credit reporting agency, a person who regularly collects and disseminates eviction case information, or a person who sells eviction case information may only use eviction case information if access is permitted under Subsection (c)(2).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construed to prohibit the court from issuing an order that bars access to eviction case information if the parties to the case so stipulate.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an eviction case based on actions of the tenant that create an imminent threat to the health or safety of the landlord, a member of the landlord's or tenant's household, other tenants, or neighbors.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CONFIDENTIAL EVICTION CASE INFORMATION FOR EVICTIONS RELATED TO COVID-19 PANDEMIC.  (a)  In this section, "eviction case" and "eviction case information" have the meanings assigned by Section 24.012.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an eviction case to which Section 24.012 applies.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Concurrently with a final judgment or dismissal in an eviction case or on petition of a defendant in an eviction case after a final judgment or dismissal in the case, a court shall enter an order making the eviction case information pertaining to the defendant confidential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judgment is or was entered in favor of the defendant;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eviction case is or was dismissed without any relief granted to the plaintiff;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defendant is or was a tenant not otherwise in default and the eviction case was brought by the landlord's successor in interest following foreclosure;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three years have elapsed from the date of the final judgment in the eviction case.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Concurrently with a final judgment or dismissal in an eviction case or on petition of a defendant in an eviction case after a final judgment or dismissal in the case, a court may enter an order making the eviction case information pertaining to the defendant confidential if the court finds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in the interest of justice;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interest of justice is not outweighed by the public's interest in knowing the eviction case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an order is entered making the eviction case information pertaining to a defendant confidential under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 courts or court clerks shall delete or redact all index references to the name of the defendant that relate to the eviction case information from the public records;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to the extent permitted by federal law, a credit reporting agency, a person who regularly collects and disseminates eviction case information, or a person who sells eviction case information may not: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disclose the existence of the eviction case;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the eviction case information as a factor in determining a score or recommendation in a tenant screening report regarding the defendant.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knowingly violates Subsection (e)(2) is liable to an injured party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actual damages;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exemplary damages of $1,000;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reasonable attorney's fees and court costs.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41.004(a), Civil Practice and Remedies Code, a court shall award exemplary damages under Subsection (f)(2) to the injured party irrespective of whether the party is awarded actual damages.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supreme court shall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2022, the Texas Supreme Court shall adopt the rules necessary to implement Sections 24.012 and 24.013, Property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1647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