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87R3052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bids or proposals required for insurance and risk pool contracts entered into by a school district, municipality, or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44, Education Code, is amended by adding Section 44.0315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44.0315.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BIDS OR PROPOSALS REQUIRED FOR INSURANCE OR RISK POOL CONTRACTS.  (a)  Except as provided by Subsection (b), and regardless of whether the contract is subject to competitive bidding requirements, a school district may not enter into an insurance or risk pool contract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school district receives at least two bids or proposals from different persons for the contract;</w:t>
      </w:r>
      <w:r>
        <w:rPr>
          <w:u w:val="single"/>
        </w:rPr>
        <w:t xml:space="preserve">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school district files the contract with the Texas Department of Insurance.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an insurance or risk pool contract if only one source is available for the type of coverage in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252, Local Government Code, is amended by adding Section 252.025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252.025.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BIDS OR PROPOSALS REQUIRED FOR INSURANCE OR RISK POOL CONTRACTS.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Section 252.022(a)(7), and regardless of whether the contract is subject to competitive bidding requirements, a municipality may not enter into an insurance or risk pool contract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receives at least two bids or proposals from different persons for the contract;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files the contract with the Texas Department of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262, Local Government Code, is amended by adding Section 262.0232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262.0232.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BIDS OR PROPOSALS REQUIRED FOR INSURANCE OR RISK POOL CONTRACTS.  (a)  Except as provided by Subsection (b), and regardless of whether the contract is subject to competitive bidding requirements, a county may not enter into an insurance or risk pool contract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receives at least two bids or proposals from different persons for the contract;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files the contract with the Texas Department of Insurance.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an insurance or risk pool contract if only one source is available for the type of coverage in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