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87R4873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1653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disannexation of certain areas that do not receive full municipal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43.1415.</w:t>
      </w:r>
      <w:r>
        <w:rPr>
          <w:u w:val="single"/>
        </w:rPr>
        <w:t xml:space="preserve"> </w:t>
      </w:r>
      <w:r>
        <w:rPr>
          <w:u w:val="single"/>
        </w:rPr>
        <w:t xml:space="preserve"> </w:t>
      </w:r>
      <w:r>
        <w:rPr>
          <w:u w:val="single"/>
        </w:rPr>
        <w:t xml:space="preserve">DISANNEXATION OF CERTAIN AREAS NOT RECEIVING FULL SERVICES.  (a) </w:t>
      </w:r>
      <w:r>
        <w:rPr>
          <w:u w:val="single"/>
        </w:rPr>
        <w:t xml:space="preserve"> </w:t>
      </w:r>
      <w:r>
        <w:rPr>
          <w:u w:val="single"/>
        </w:rPr>
        <w:t xml:space="preserve">This section applies only to an area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receive full municipal services and was exempt from municipal taxation for more than 20 years under an ordinance that provided that the area was exempt from taxation until full municipal services were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annexed for limited purposes before Subchapter F was enacted and has not received at any time full municipal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owning real property wholly or partly located in the area may file a petition requesting the municipality to disannex the portion of the property located in the municipality. </w:t>
      </w:r>
      <w:r>
        <w:rPr>
          <w:u w:val="single"/>
        </w:rPr>
        <w:t xml:space="preserve"> </w:t>
      </w:r>
      <w:r>
        <w:rPr>
          <w:u w:val="single"/>
        </w:rPr>
        <w:t xml:space="preserve">If the property is located in a subdivision, the petition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disannexation of all real property in the subdivision that is located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signatures of owners of at least 51 percent of the property in the subdivision that is located in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shall disannex the property described by a valid petition filed under Subsection (b) not later than the 30th day after the date the municipality receives the petition. The filing of the petition creates an irrebuttable presumption that the property is not a part of the municipality. The presumption may not be contested for any cause after the date the municipality receives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municipality fails to disannex the property as required by Subsection (c), the person filing the petition may bring an action against the municipality to compel disannexation of the property. If the person prevails, the person may recover attorney's fees and court costs resulting from bringing the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Governmental immunity to suit and from liability of the municipality is waived to the extent of liability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