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87R215 KFF-D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White</w:t>
      </w:r>
      <w:r xml:space="preserve">
        <w:tab wTab="150" tlc="none" cTlc="0"/>
      </w:r>
      <w:r>
        <w:t xml:space="preserve">H.B.</w:t>
      </w:r>
      <w:r xml:space="preserve">
        <w:t> </w:t>
      </w:r>
      <w:r>
        <w:t xml:space="preserve">No.</w:t>
      </w:r>
      <w:r xml:space="preserve">
        <w:t> </w:t>
      </w:r>
      <w:r>
        <w:t xml:space="preserve">1657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the investment of assets of the Employees Retirement System of Texas and the Teacher Retirement System of Texas in certain foreign business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815, Government Code, is amended by adding Section 815.3013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815.3013.</w:t>
      </w:r>
      <w:r>
        <w:rPr>
          <w:u w:val="single"/>
        </w:rPr>
        <w:t xml:space="preserve"> </w:t>
      </w:r>
      <w:r>
        <w:rPr>
          <w:u w:val="single"/>
        </w:rPr>
        <w:t xml:space="preserve"> </w:t>
      </w:r>
      <w:r>
        <w:rPr>
          <w:u w:val="single"/>
        </w:rPr>
        <w:t xml:space="preserve">PROHIBITED INVESTMENTS IN CERTAIN FOREIGN ENTITIES.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"Domestic" means the United States or a state of the United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"Foreign business entity" means a business entity formed under, and the internal affairs of which are governed by, the laws of a foreign jurisdiction.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"Foreign jurisdiction" means a country or other jurisdiction that is not the United States or a state of the United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trustees, or any person to whom the board delegates its investment authority, may not invest the retirement system's assets in securities issued by a foreign business entity that does not adhere to or is not subject to generally accepted accounting, audit, or transparency standards similar to the standards applicable to comparable domestic business entities, as determined by the comptroller.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adopt rules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825, Government Code, is amended by adding Section 825.3013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825.3013.</w:t>
      </w:r>
      <w:r>
        <w:rPr>
          <w:u w:val="single"/>
        </w:rPr>
        <w:t xml:space="preserve"> </w:t>
      </w:r>
      <w:r>
        <w:rPr>
          <w:u w:val="single"/>
        </w:rPr>
        <w:t xml:space="preserve"> </w:t>
      </w:r>
      <w:r>
        <w:rPr>
          <w:u w:val="single"/>
        </w:rPr>
        <w:t xml:space="preserve">PROHIBITED INVESTMENTS IN CERTAIN FOREIGN ENTITIES.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"Domestic" means the United States or a state of the United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"Foreign business entity" means a business entity formed under, and the internal affairs of which are governed by, the laws of a foreign jurisdiction.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"Foreign jurisdiction" means a country or other jurisdiction that is not the United States or a state of the United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trustees, or any person to whom the board delegates its investment authority, may not invest the retirement system's assets in securities issued by a foreign business entity that does not adhere to or is not subject to generally accepted accounting, audit, or transparency standards similar to the standards applicable to comparable domestic business entities, as determined by the comptroller.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adopt rules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