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by which the comptroller may provide notice of a deficiency determination or jeopardy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111.008, Tax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On making a determination under this section, the comptroller shall notify the person against whom a determination is made of the determination.  The notice may be given by mail</w:t>
      </w:r>
      <w:r>
        <w:rPr>
          <w:u w:val="single"/>
        </w:rPr>
        <w:t xml:space="preserve">, by electronic means,</w:t>
      </w:r>
      <w:r>
        <w:t xml:space="preserve"> or by personal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notice given by electronic means shall be addressed to the person's e-mail address as it appears in the comptroller's records.  Service by electronic means is complete when the comptroller transmits the notice to the person's e-mail address.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111.022, Tax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A determination made under this section becomes final on the expiration of 20 days after the day on which the notice of the determination was served by personal service</w:t>
      </w:r>
      <w:r>
        <w:rPr>
          <w:u w:val="single"/>
        </w:rPr>
        <w:t xml:space="preserve">, by electronic means,</w:t>
      </w:r>
      <w:r>
        <w:t xml:space="preserve"> or by mail unless a petition for a redetermination is filed before the determination becomes final.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given by mail shall be addressed to the person to whom the notice is served at the person's address as it appears in the comptroller's records.  Service by mail is complete when the notice is deposited in a United States Post Office.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notice given by electronic means shall be addressed to the person's e-mail address as it appears in the comptroller's records.  Service by electronic means is complete when the comptroller transmits the notice to the person's e-mail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