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1659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1659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amendment of a residential subdivision's declaration to affect certain types of property located in the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209.0041, Property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section does not apply to an amendment of a declaration if the amendment would affect a portion of a subdivision that is zoned for or that contains, or previously contained as specifically allowed under the declaration, a commercial structure, an industrial structure, an apartment complex, or a condominium as defined by Section 81.002 or 82.003.  For purposes of this subsection, "apartment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209.0041(d-1), Property Code, as added by this Act, applies only to a vote to amend a declaration held on or after the effective date of this Act. A vote to amend a declaration held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