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87R6203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recognition of the Tap Pilam Coahuiltecan 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TITLE 11. STATE SYMBOLS</w:t>
      </w:r>
      <w:r>
        <w:rPr>
          <w:u w:val="single"/>
        </w:rPr>
        <w:t xml:space="preserve">, RECOGNITIONS,</w:t>
      </w:r>
      <w:r>
        <w:t xml:space="preserve"> AND HONORS; PRESERVATION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Subtitle A,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SUBTITLE A. STATE SYMBOLS</w:t>
      </w:r>
      <w:r>
        <w:rPr>
          <w:u w:val="single"/>
        </w:rPr>
        <w:t xml:space="preserve">, RECOGNITIONS,</w:t>
      </w:r>
      <w:r>
        <w:t xml:space="preserve">  AND HONORS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11, Government Code, is amended by adding Chapter 3107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3107. STATE RECOGNITION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RECOGNITION OF NATIVE AMERICAN INDIAN TRIBE.  (a) </w:t>
      </w:r>
      <w:r>
        <w:rPr>
          <w:u w:val="single"/>
        </w:rPr>
        <w:t xml:space="preserve"> </w:t>
      </w:r>
      <w:r>
        <w:rPr>
          <w:u w:val="single"/>
        </w:rPr>
        <w:t xml:space="preserve">The Tap Pilam Coahuiltecan Nation is designated and recognized by this state as a Native American Indian Tribe exercising substantial governmental powers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tribe is recognized as eligible for all programs, services, and other benefits provided to state-recognized Native American Indian Tribes by the United States, this state, or any other state because of the tribe members' status as Native American Indians.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