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87R464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 on cost-sharing requirements imposed by a health benefit plan for certain prescription insulin.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1358, Insurance Code, is amended by adding Subchapter C to read as follows:</w:t>
      </w:r>
    </w:p>
    <w:p w:rsidR="003F3435" w:rsidRDefault="0032493E">
      <w:pPr>
        <w:spacing w:line="480" w:lineRule="auto"/>
        <w:jc w:val="center"/>
      </w:pPr>
      <w:r>
        <w:rPr>
          <w:u w:val="single"/>
        </w:rPr>
        <w:t xml:space="preserve">SUBCHAPTER C. COST-SHARING LIMIT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1358.101.</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reciprocal exchange operating under Chapter 942;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multiple employer welfare arrangement that holds a certificate of authority under Chapter 846;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group health coverage made available by a school district in accordance with Section 22.004,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provision in Chapter 1551, 1575, 1579, or 1601 or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basic coverage under Chapter 1601.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this subchapter applies to coverage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health plan program under Chapter 62, Health and Safety Code, or the health benefits plan for children under Chapter 63,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assistance program under Chapter 32,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1358.102.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benefit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for a specified disease or for another single benefit;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accidental death or dismemberment;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dental or vision care;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payment insurance coverage provided under a motor vehicle insurance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long-term care insurance policy, including a nursing home fixed indemnity policy, unless the commissioner determines that the policy provides benefit coverage so comprehensive that the policy is a health benefit plan as described by Section 1358.101;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and accident coverage provided by a risk pool created under Chapter 172, Local Government Code;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1358.103.</w:t>
      </w:r>
      <w:r>
        <w:rPr>
          <w:u w:val="single"/>
        </w:rPr>
        <w:t xml:space="preserve"> </w:t>
      </w:r>
      <w:r>
        <w:rPr>
          <w:u w:val="single"/>
        </w:rPr>
        <w:t xml:space="preserve"> </w:t>
      </w:r>
      <w:r>
        <w:rPr>
          <w:u w:val="single"/>
        </w:rPr>
        <w:t xml:space="preserve">LIMIT ON COST-SHARING REQUIREMENT. (a) In this section, "insulin" means a prescription drug that contains insulin and is used to treat diabetes. The term does not include an insulin drug that is administered to a patient intravenously.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 health benefit plan may not impose a cost-sharing provision for insulin if the total amount the enrollee is required to pay exceeds $100 for a 30-day supply.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January 1 of each year, the limit on the amount that an enrollee may be required to pay for a 30-day supply of insulin increases by a percentage equal to any percentage increase from the preceding year in the medical care component of the Consumer Price Index of the Bureau of Labor Statistics of the United States Department of Labor.</w:t>
      </w:r>
      <w:r>
        <w:t xml:space="preserve"> </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Subsection (c) takes effect January 1, 2023.  This subsection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that is delivered, issued for delivery, or renewed on or after January 1, 2022.  A health benefit plan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