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87R3969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return of certain ballots.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86.006, Election Code, is amended by amending Subsection (a-1) and adding Subsection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The voter may deliver a marked ballot in person to the early voting clerk's office </w:t>
      </w:r>
      <w:r>
        <w:rPr>
          <w:u w:val="single"/>
        </w:rPr>
        <w:t xml:space="preserve">or to another designated location</w:t>
      </w:r>
      <w:r>
        <w:t xml:space="preserve"> [</w:t>
      </w:r>
      <w:r>
        <w:rPr>
          <w:strike/>
        </w:rPr>
        <w:t xml:space="preserve">only</w:t>
      </w:r>
      <w:r>
        <w:t xml:space="preserve">] while the polls are open on election day </w:t>
      </w:r>
      <w:r>
        <w:rPr>
          <w:u w:val="single"/>
        </w:rPr>
        <w:t xml:space="preserve">or during the early voting period</w:t>
      </w:r>
      <w:r>
        <w:t xml:space="preserve">. A voter who delivers a marked ballot in person must present an acceptable form of identification described by Section 63.0101.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early voting clerk may designate any number of suitable locations for in-person delivery of ballots.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