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an audit performed under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health benefit plan issuer or pharmacy benefit manager may as a condition of contract prohibit a pharmacist or pharmacy from mailing the drugs for more than 25 percent of the claims the pharmacist or pharmacy submits to the health benefit plan issuer or pharmacy benefit manager during a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(b), 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require as a condition of a contract with a specialty pharmacy that the specialty pharmacy obtain accreditation from not more than two of the following independent accreditation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URAC, formerly the Utilization Review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Joint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Accreditation Commission for Health Care (ACHC);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Center for Pharmacy Practice Accreditation (CPPA);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Committee for Quality Assurance (NCQA).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