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87R6950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1673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about the process of voting as part of the social studies curriculum requirements for public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(c-6) to read as follows:</w:t>
      </w:r>
    </w:p>
    <w:p w:rsidR="003F3435" w:rsidRDefault="0032493E">
      <w:pPr>
        <w:spacing w:line="480" w:lineRule="auto"/>
        <w:ind w:firstLine="720"/>
        <w:jc w:val="both"/>
      </w:pPr>
      <w:r>
        <w:rPr>
          <w:u w:val="single"/>
        </w:rPr>
        <w:t xml:space="preserve">(c-6)</w:t>
      </w:r>
      <w:r>
        <w:rPr>
          <w:u w:val="single"/>
        </w:rPr>
        <w:t xml:space="preserve"> </w:t>
      </w:r>
      <w:r>
        <w:rPr>
          <w:u w:val="single"/>
        </w:rPr>
        <w:t xml:space="preserve"> </w:t>
      </w:r>
      <w:r>
        <w:rPr>
          <w:u w:val="single"/>
        </w:rPr>
        <w:t xml:space="preserve">The State Board of Education shall adopt rules requiring a high school student, as part of the social studies curriculum under Subsection (a)(1)(D), to be provided at least once with practical information about the process of voting in public elections, including specific information about using the type of voting machines used by the county in which the student is enrolled. The rules shall require a school district, to the extent practicable, to seek assistance and cooperation from the county election office in providing students with exposure to and experience using the applicable voting machine.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