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87R5353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child water safety requirements for certain organizations.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Cati's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341, Health and Safety Code, is amended by adding Section 341.0646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341.0646.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CHILD WATER SAFETY REQUIREMENTS FOR CERTAIN ORGANIZATIONS.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"Body of water" means an artificial or natural body of water, including a swimming pool, wading pool, lake, or river, typically used for recreational swimming, bathing, or play.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"Child" means an individual under 18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organization, including a school, preschool, kindergarten, nursery school, or day camp or youth camp, as defined by Section 141.002, that takes a child in its care or under its supervision to a body of water or otherwise allows a child access to a body of water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 whether the child is able to swim or is at risk when swimming;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organization does not own or operate the body of water, provide the owner or operator of the body of water a written or electronic disclosure that clearly identifies each child who is unable to swim or is at risk when swimming.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time each child who is unable to swim or is at risk when swimming has access to a body of water, the organization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to the child: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natural body of water, a Type II United States Coast Guard approved personal flotation device;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artificial body of water, a Type II or Type III United States Coast Guard approved personal flotation device;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the child is wearing the appropriate personal flotation device and the device is properly fitted for the child.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may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