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87R5258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1679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survival of a mechanic's retainage lien after the foreclosure of a lien securing a construction loan.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53.052, Property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w:t>
      </w:r>
      <w:r>
        <w:rPr>
          <w:u w:val="single"/>
        </w:rPr>
        <w:t xml:space="preserve">or (b-1)</w:t>
      </w:r>
      <w:r>
        <w:t xml:space="preserve">, the person claiming the lien must file an affidavit with the county clerk of the county in which the property is located or into which the railroad extends not later than the 15th day of the fourth calendar month after the day on which the indebtedness accrues.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person claiming a lien for retainage receives a notice of a foreclosure sale as provided by Section 53.125, the person must file the affidavit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fifth day before the date of the foreclosure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foreclosure sale does not occur on the date stated in 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lien for retainage under Subchapter E, the date provided by Section 53.057(f);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lien for retainage described by Section 53.125(a)(2), the date provided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53, Property Code, is amended by adding Section 53.125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53.125.</w:t>
      </w:r>
      <w:r>
        <w:rPr>
          <w:u w:val="single"/>
        </w:rPr>
        <w:t xml:space="preserve"> </w:t>
      </w:r>
      <w:r>
        <w:rPr>
          <w:u w:val="single"/>
        </w:rPr>
        <w:t xml:space="preserve"> </w:t>
      </w:r>
      <w:r>
        <w:rPr>
          <w:u w:val="single"/>
        </w:rPr>
        <w:t xml:space="preserve">SURVIVAL OF RETAINAGE LIEN AFTER CERTAIN FORECLOSURES.  (a)  In this section, "retainage"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retainage under Subchapter 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or agreed percentage of money in a construction contract or subcontract that is withheld from a payment and not due to be paid until completion of the contract or an agreed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purchases property that is sold due to the foreclosure of a lien that secures a financing agreement or loan to pay for the construction or repair of an improvement to real property takes the property subject to the amount of retainage included in an unreleased lien for which an affidavit is filed under Section 53.052(b-1).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lender under a financing agreement or loan described by Subsection (b) shall, not later than the 35th day before the date of the foreclosure sale, provide written notice to the original contractor that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lender's intent to foreclose;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foreclosure sale;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owner of the property being sold;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legal description of the property being sold;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 the top of the notice, printed in bold capital letter type at least as large as the largest type used in the notice, but not smaller than 10-point type: "NOTICE: IN ORDER FOR THE RETAINAGE PORTION OF A MECHANIC'S LIEN CLAIM TO SURVIVE FORECLOSURE, YOU MUST FILE A LIEN AFFIDAVIT UNDER SECTION 53.052, TEXAS PROPERTY CODE, NOT LATER THAN THE FIFTH DAY BEFORE THE DATE OF THE FORECLOSURE SALE."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original contractor who receives a notice under this section must, not later than the fifth day after the date the contractor receives the notice, provide a copy of the notice to each subcontractor of the contractor.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subcontractor who receives a notice under Subsection (d) must, not later than the fifth day after the date the subcontractor receives the notice, provide a copy of the notice to each subcontractor of the subcontractor.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lien related to an original contract entered into on or after the effective date of this Act.  A lien related to an original contract entered into before the effective date of this Act is governed by the law applicable to the lien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