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87R8599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oil and gas operations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Natural Resources Code, is amended by adding Chapter 82 to read as follows:</w:t>
      </w:r>
    </w:p>
    <w:p w:rsidR="003F3435" w:rsidRDefault="0032493E">
      <w:pPr>
        <w:spacing w:line="480" w:lineRule="auto"/>
        <w:jc w:val="center"/>
      </w:pPr>
      <w:r>
        <w:rPr>
          <w:u w:val="single"/>
        </w:rPr>
        <w:t xml:space="preserve">CHAPTER 82.  ENFORCEMENT OF FEDERAL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82.0101.</w:t>
      </w:r>
      <w:r>
        <w:rPr>
          <w:u w:val="single"/>
        </w:rPr>
        <w:t xml:space="preserve"> </w:t>
      </w:r>
      <w:r>
        <w:rPr>
          <w:u w:val="single"/>
        </w:rPr>
        <w:t xml:space="preserve"> </w:t>
      </w:r>
      <w:r>
        <w:rPr>
          <w:u w:val="single"/>
        </w:rPr>
        <w:t xml:space="preserve">DEFINITION.  In this chapter, "oil and gas operation" has the meaning assigned by Section 81.0523.</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82.0102.</w:t>
      </w:r>
      <w:r>
        <w:rPr>
          <w:u w:val="single"/>
        </w:rPr>
        <w:t xml:space="preserve"> </w:t>
      </w:r>
      <w:r>
        <w:rPr>
          <w:u w:val="single"/>
        </w:rPr>
        <w:t xml:space="preserve"> </w:t>
      </w:r>
      <w:r>
        <w:rPr>
          <w:u w:val="single"/>
        </w:rPr>
        <w:t xml:space="preserve">ENFORCEMENT OF CERTAIN FEDERAL LAWS REGULATING OIL AND GAS OPERATIONS.  (a)  An agency of this state or a political subdivision of this state, and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purporting to regulate oil and gas operations if the statute, order, rule, or regulation imposes a prohibition, restriction, or other regulation that does not exist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of this state may not receive state grant funds if the political subdivision adopts a rule, order, ordinance, or policy under which the political subdivision requires the enforcement of any federal statute, order, rule, or regulation described by Subsection (a) or, by consistent actions, requires the enforcement of any federal statute, order, rule, or regulation described by Subsection (a).  State grant funds for the political subdivision shall be denied for the fiscal year following the year in which a final judicial determination in an action brought under this section is made that the political subdivision has intentionally required the enforcement of any federal statute, order, rule, or regulation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citizen residing in the jurisdiction of a political subdivision of this state may file a complaint with the attorney general if the citizen offers evidence to support an allegation that the political subdivision has adopted a rule, order, ordinance, or policy under which the political subdivision requires the enforcement of any federal statute, order, rule, or regulation described by Subsection (a) or an allegation that the political subdivision, by consistent actions, requires the enforcement of any federal statute, order, rule, or regulation described by Subsection (a).  The citizen must include with the complaint the evidence the citizen has that supports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determines that a complaint filed under Subsection (c)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(a).  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of a suit brought under Subsection (d) is governed by the procedures for accelerated appeals in civil cases under the Texas Rules of Appellate Procedure.  The appellate court shall render its final order or judgment with the least possible delay.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shall defend any agency of this state that the federal government attempts to sue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