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87R16936 TSS-F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Cortez</w:t>
      </w:r>
      <w:r xml:space="preserve">
        <w:tab wTab="150" tlc="none" cTlc="0"/>
      </w:r>
      <w:r>
        <w:t xml:space="preserve">H.B.</w:t>
      </w:r>
      <w:r xml:space="preserve">
        <w:t> </w:t>
      </w:r>
      <w:r>
        <w:t xml:space="preserve">No.</w:t>
      </w:r>
      <w:r xml:space="preserve">
        <w:t> </w:t>
      </w:r>
      <w:r>
        <w:t xml:space="preserve">1685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1685:</w:t>
      </w:r>
    </w:p>
    <w:p w:rsidR="003F3435" w:rsidRDefault="0032493E">
      <w:pPr>
        <w:spacing w:line="480" w:lineRule="auto"/>
        <w:jc w:val="both"/>
        <w:tabs>
          <w:tab w:val="right" w:leader="none" w:pos="9350"/>
        </w:tabs>
      </w:pPr>
      <w:r>
        <w:t xml:space="preserve">By:</w:t>
      </w:r>
      <w:r xml:space="preserve">
        <w:t> </w:t>
      </w:r>
      <w:r xml:space="preserve">
        <w:t> </w:t>
      </w:r>
      <w:r>
        <w:t xml:space="preserve">Smith</w:t>
      </w:r>
      <w:r xml:space="preserve">
        <w:tab wTab="150" tlc="none" cTlc="0"/>
      </w:r>
      <w:r>
        <w:t xml:space="preserve">C.S.H.B.</w:t>
      </w:r>
      <w:r xml:space="preserve">
        <w:t> </w:t>
      </w:r>
      <w:r>
        <w:t xml:space="preserve">No.</w:t>
      </w:r>
      <w:r xml:space="preserve">
        <w:t> </w:t>
      </w:r>
      <w:r>
        <w:t xml:space="preserve">1685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an electronic recording device to report proceedings before a municipal court of record for the City of San Antonio.</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30.00226,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Instead of using a court reporter to preserve a record in a case, the governing body may authorize the use of a good quality electronic recording device to report court proceedings. If the governing body authorizes an electronic recording, the court reporter is not required to be present to certify the reporter's record. The recording shall be kept for the 20-day period beginning the day after the last day of the court proceeding, trial, or denial of motion for new trial, whichever occurs last. If a case is appealed, the proceedings shall be transcribed from the recording by an official court reporter.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1685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