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87R5105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the financial responsibility verification program by justice and municipal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601, Transportation Code, is amended by adding Section 601.455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601.455.</w:t>
      </w:r>
      <w:r>
        <w:rPr>
          <w:u w:val="single"/>
        </w:rPr>
        <w:t xml:space="preserve"> </w:t>
      </w:r>
      <w:r>
        <w:rPr>
          <w:u w:val="single"/>
        </w:rPr>
        <w:t xml:space="preserve"> </w:t>
      </w:r>
      <w:r>
        <w:rPr>
          <w:u w:val="single"/>
        </w:rPr>
        <w:t xml:space="preserve">ACCESS BY COURT.  (a) </w:t>
      </w:r>
      <w:r>
        <w:rPr>
          <w:u w:val="single"/>
        </w:rPr>
        <w:t xml:space="preserve"> </w:t>
      </w:r>
      <w:r>
        <w:rPr>
          <w:u w:val="single"/>
        </w:rPr>
        <w:t xml:space="preserve">A justice or municipal court may access the verification program established under this subchapter to verify financial responsibility for the purpose of court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costs associated with accessing the verification program under this section shall be paid out of the county treasury by order of the commissioners court or the municipal treasury by order of the governing body of the municipality,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