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87R8662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comptroller's authority to except remote sellers and marketplace providers from sales and use tax requirements based on revenue, sales, or transactions.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151.0242(k),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comptroller may adopt rules and forms to implement this section</w:t>
      </w:r>
      <w:r>
        <w:rPr>
          <w:u w:val="single"/>
        </w:rPr>
        <w:t xml:space="preserve">. The comptroller may</w:t>
      </w:r>
      <w:r>
        <w:t xml:space="preserve"> [</w:t>
      </w:r>
      <w:r>
        <w:rPr>
          <w:strike/>
        </w:rPr>
        <w:t xml:space="preserve">and</w:t>
      </w:r>
      <w:r>
        <w:t xml:space="preserve">] by rule except certain marketplace providers from some or all of the requirements of this section </w:t>
      </w:r>
      <w:r>
        <w:rPr>
          <w:u w:val="single"/>
        </w:rPr>
        <w:t xml:space="preserve">but may not except a marketplace provider from a requirement of this section based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or sales in an amount greater than $100,000 in a 12-month period;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transactions in a number greater than 200 in a 12-month period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151.0595,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151.0595.</w:t>
      </w:r>
      <w:r xml:space="preserve">
        <w:t> </w:t>
      </w:r>
      <w:r xml:space="preserve">
        <w:t> </w:t>
      </w:r>
      <w:r>
        <w:rPr>
          <w:u w:val="single"/>
        </w:rPr>
        <w:t xml:space="preserve">REMOTE SELLERS; USE OF</w:t>
      </w:r>
      <w:r>
        <w:t xml:space="preserve"> SINGLE LOCAL TAX RATE [</w:t>
      </w:r>
      <w:r>
        <w:rPr>
          <w:strike/>
        </w:rPr>
        <w:t xml:space="preserve">FOR REMOTE SELLERS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151.0595, Tax Code, is amended by adding Subsection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not by rule except a remote seller from a requirement of this chapter based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or sales in an amount greater than $100,000 in a 12-month period;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transactions in a number greater than 200 in a 12-month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comptroller shall adopt rules in compliance with this Act not later than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