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644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n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sex offender treatment by certain physicians and psycholog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.301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physician whose treatment of a sex offender is limited to prescribing medication to the sex offend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licensed in this state to practice as a physician or psychologist and has comple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24 hours of training in the specific area of sex offender assessment and treatm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eight hours of continuing education training in the specific area of sex offender assessment and treatment during each 12-month period in which the physician or psychologist provides sex offender treatment or acts as a sex offender treatment provid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