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Kacal, Canales</w:t>
      </w:r>
      <w:r xml:space="preserve">
        <w:tab wTab="150" tlc="none" cTlc="0"/>
      </w:r>
      <w:r>
        <w:t xml:space="preserve">H.B.</w:t>
      </w:r>
      <w:r xml:space="preserve">
        <w:t> </w:t>
      </w:r>
      <w:r>
        <w:t xml:space="preserve">No.</w:t>
      </w:r>
      <w:r xml:space="preserve">
        <w:t> </w:t>
      </w:r>
      <w:r>
        <w:t xml:space="preserve">1698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optional county fee on vehicle registration in certain counties to be used for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502.402, Transportation Code, is amended by amending Subsections (a), (b), (b-1), and (e) and adding Subsection (e-1)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the United Mexican States; and</w:t>
      </w:r>
    </w:p>
    <w:p w:rsidR="003F3435" w:rsidRDefault="0032493E">
      <w:pPr>
        <w:spacing w:line="480" w:lineRule="auto"/>
        <w:ind w:firstLine="2160"/>
        <w:jc w:val="both"/>
      </w:pPr>
      <w:r>
        <w:t xml:space="preserve">(B)</w:t>
      </w:r>
      <w:r xml:space="preserve">
        <w:t> </w:t>
      </w:r>
      <w:r xml:space="preserve">
        <w:t> </w:t>
      </w:r>
      <w:r>
        <w:t xml:space="preserve">has a population of more than 250,000;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county that has a population of more than 1.5 million that is coterminous with a regional mobility authority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other than a county described by Subdivision (1) or (2) that is part of a regional mobility authority;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a population of more than 320,000;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does not border the United Mexican States;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which a port authority is authorized to issue permits for oversize or overweight vehicles under Chapter 623</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of a county by order may impose an additional fee for a vehicle registered in the county. Except as provided by Subsection (b-1), the fee may not exceed $10.  </w:t>
      </w:r>
      <w:r>
        <w:rPr>
          <w:u w:val="single"/>
        </w:rPr>
        <w:t xml:space="preserve">In a county described by Subsection (a)(3), the fee must be approved by a majority of the qualified voters of the county voting on the issue at a referendum election, which the commissioners court may order and hold for that purpose.</w:t>
      </w:r>
    </w:p>
    <w:p w:rsidR="003F3435" w:rsidRDefault="0032493E">
      <w:pPr>
        <w:spacing w:line="480" w:lineRule="auto"/>
        <w:ind w:firstLine="720"/>
        <w:jc w:val="both"/>
      </w:pPr>
      <w:r>
        <w:t xml:space="preserve">(b-1)</w:t>
      </w:r>
      <w:r xml:space="preserve">
        <w:t> </w:t>
      </w:r>
      <w:r xml:space="preserve">
        <w:t> </w:t>
      </w:r>
      <w:r>
        <w:t xml:space="preserve">The commissioners court of a county described by Subsection (a) [</w:t>
      </w:r>
      <w:r>
        <w:rPr>
          <w:strike/>
        </w:rPr>
        <w:t xml:space="preserve">with a population of less than 700,000</w:t>
      </w:r>
      <w:r>
        <w:t xml:space="preserve">] may increase the additional fee to an amount that does not exceed $20 if approved by a majority of the qualified voters of the county voting on the issue at a referendum election, which the commissioners court may order and hold for that purpose.</w:t>
      </w:r>
    </w:p>
    <w:p w:rsidR="003F3435" w:rsidRDefault="0032493E">
      <w:pPr>
        <w:spacing w:line="480" w:lineRule="auto"/>
        <w:ind w:firstLine="720"/>
        <w:jc w:val="both"/>
      </w:pPr>
      <w:r>
        <w:t xml:space="preserve">(e)</w:t>
      </w:r>
      <w:r xml:space="preserve">
        <w:t> </w:t>
      </w:r>
      <w:r xml:space="preserve">
        <w:t> </w:t>
      </w:r>
      <w:r>
        <w:t xml:space="preserve">The additional fee shall be collected for a vehicle when other fees imposed under this chapter are collected.  </w:t>
      </w:r>
      <w:r>
        <w:rPr>
          <w:u w:val="single"/>
        </w:rPr>
        <w:t xml:space="preserve">Except as otherwise provided by Subsection (e-1), the</w:t>
      </w:r>
      <w:r>
        <w:t xml:space="preserve"> [</w:t>
      </w:r>
      <w:r>
        <w:rPr>
          <w:strike/>
        </w:rPr>
        <w:t xml:space="preserve">The</w:t>
      </w:r>
      <w:r>
        <w:t xml:space="preserve">] fee revenue collected shall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sent to a regional mobility authority located in the county to fund long-term transportation projects in the county that are consistent with the purposes specified by Section 7-a, Article VIII, Texas Constitution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there is no regional mobility authority located in the county, used by the county only to fund long-term transportation projects in the county that are consistent with the purposes specified by Section 7-a, Article VIII, Texas Constitution</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a county described by Subsection (a)(1), other than a county in which a vehicle is required to pass an emissions inspection, has been authorized to increase the amount of the fee under Subsection (b-1), 50 percent of the additional revenue collected as authorized by that subsection shall be sent to the county treasurer of the county to be credited to the county road and bridge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