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1698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an optional county fee on vehicle registration in certain counties to be used for transportation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502.402(a) and (b), Transportation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borders the United Mexican States;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 population of more than 250,000;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county that has a population of more than 1.5 million that is coterminous with a regional mobility authority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that has a population of more than 190,000 and not more than 1.5 million that is coterminous with a regional mobility authority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commissioners court of a county by order may impose an additional fee for a vehicle registered in the county. Except as provided by Subsection (b-1), the fee may not exceed $10.  </w:t>
      </w:r>
      <w:r>
        <w:rPr>
          <w:u w:val="single"/>
        </w:rPr>
        <w:t xml:space="preserve">In a county described by Subsection (a)(3), the fee must be approved by a majority of the qualified voters of the county voting on the issue at a referendum election, which the commissioners court may order and hold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1698 was passed by the House on May 4, 2021, by the following vote:</w:t>
      </w:r>
      <w:r xml:space="preserve">
        <w:t> </w:t>
      </w:r>
      <w:r xml:space="preserve">
        <w:t> </w:t>
      </w:r>
      <w:r>
        <w:t xml:space="preserve">Yeas 94, Nays 52, 1 present, not voting; and that the House concurred in Senate amendments to H.B. No. 1698 on May 28, 2021, by the following vote:</w:t>
      </w:r>
      <w:r xml:space="preserve">
        <w:t> </w:t>
      </w:r>
      <w:r xml:space="preserve">
        <w:t> </w:t>
      </w:r>
      <w:r>
        <w:t xml:space="preserve">Yeas 95, Nays 48,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1698 was passed by the Senate, with amendments, on May 24, 2021, by the following vote:</w:t>
      </w:r>
      <w:r xml:space="preserve">
        <w:t> </w:t>
      </w:r>
      <w:r xml:space="preserve">
        <w:t> </w:t>
      </w:r>
      <w:r>
        <w:t xml:space="preserve">Yeas 26, Nays 4.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