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87R2634 AJZ-D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Raney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1698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authorizing an optional county fee on vehicle registration in certain counties to be used for transportation projects.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502.402(a) and (b), Transportation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This section applies only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county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borders the United Mexican States;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has a population of more than 250,000;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county that has a population of more than 1.5 million that is coterminous with a regional mobility authority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county that has a population of more than 190,000 and not more than 1.5 million that is coterminous with a regional mobility authority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commissioners court of a county by order may impose an additional fee for a vehicle registered in the county. Except as provided by Subsection (b-1), the fee may not exceed $10.  </w:t>
      </w:r>
      <w:r>
        <w:rPr>
          <w:u w:val="single"/>
        </w:rPr>
        <w:t xml:space="preserve">In a county described by Subsection (a)(3), the fee must be approved by a majority of the qualified voters of the county voting on the issue at a referendum election, which the commissioners court may order and hold for that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1698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