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87R15690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unbanded pen-reared pheasant and quail by certain landowners.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Parks and Wildlife Code, is amended by adding Section 42.0211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TAKING OF UNBANDED PEN-REARED PHEASANT OR QUAIL BY CERTAIN LANDOWNERS.  (a)  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noncommercial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taking of pheasant or quail on a property of at least five contiguous acres.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requiring the banding of a bird, a person, or the person's guest when accompanied by the person, may take on the person's property unbanded pen-reared pheasant or quail.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affects the requirement to acquire a license under Section 45.001 for the propagation of game birds;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a person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exceed a bag limit for pheasant or quail;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pheasant or quail during a closed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