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87R8922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H.B.</w:t>
      </w:r>
      <w:r xml:space="preserve">
        <w:t> </w:t>
      </w:r>
      <w:r>
        <w:t xml:space="preserve">No.</w:t>
      </w:r>
      <w:r xml:space="preserve">
        <w:t> </w:t>
      </w:r>
      <w:r>
        <w:t xml:space="preserve">1699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taking of unbanded pen-reared quail and pheasants by certain landowners.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42, Parks and Wildlife Code, is amended by adding Section 42.0211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42.0211.</w:t>
      </w:r>
      <w:r>
        <w:rPr>
          <w:u w:val="single"/>
        </w:rPr>
        <w:t xml:space="preserve"> </w:t>
      </w:r>
      <w:r>
        <w:rPr>
          <w:u w:val="single"/>
        </w:rPr>
        <w:t xml:space="preserve"> </w:t>
      </w:r>
      <w:r>
        <w:rPr>
          <w:u w:val="single"/>
        </w:rPr>
        <w:t xml:space="preserve">TAKING OF UNBANDED PEN-REARED QUAIL OR PHEASANT BY CERTAIN LANDOWNERS.  (a)  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noncommercial activity;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taking of pheasant or quail on a property of at least five contiguous acres.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requiring the banding of a bird, a person, or the person's guest when accompanied by the person, may take on the person's property at any time unbanded pen-reared quail or pheasant.  Nothing in this section affects the requirement to acquire a license under Section 45.001 for the propagation of game birds.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