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21,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taking of unbanded pen-reared pheasant and quail by certain landowners.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Parks and Wildlife Code, is amended by adding Section 42.0211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TAKING OF UNBANDED PEN-REARED PHEASANT OR QUAIL BY CERTAIN LANDOWNERS.  (a)  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noncommercial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taking of pheasant or quail on a property of at least five contiguous acres.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requiring the banding of a bird, a person, or the person's guest when accompanied by the person, may take on the person's property unbanded pen-reared pheasant or quail.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affects the requirement to acquire a license under Section 45.001 for the propagation of game birds;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a person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exceed a bag limit for pheasant or quail;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pheasant or quail during a closed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