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Raney</w:t>
      </w:r>
      <w:r>
        <w:t xml:space="preserve"> (Senate Sponsor</w:t>
      </w:r>
      <w:r xml:space="preserve">
        <w:t> </w:t>
      </w:r>
      <w:r>
        <w:t xml:space="preserve">-</w:t>
      </w:r>
      <w:r xml:space="preserve">
        <w:t> </w:t>
      </w:r>
      <w:r>
        <w:t xml:space="preserve">Buckingham)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1699</w:t>
      </w:r>
    </w:p>
    <w:p w:rsidR="003F3435" w:rsidRDefault="0032493E">
      <w:pPr>
        <w:spacing w:line="480" w:lineRule="auto"/>
        <w:ind w:firstLine="720"/>
        <w:jc w:val="both"/>
      </w:pPr>
      <w:r>
        <w:t xml:space="preserve">(In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Received from the House April</w:t>
      </w:r>
      <w:r xml:space="preserve">
        <w:t> </w:t>
      </w:r>
      <w:r>
        <w:t xml:space="preserve">19,</w:t>
      </w:r>
      <w:r xml:space="preserve">
        <w:t> </w:t>
      </w:r>
      <w:r>
        <w:t xml:space="preserve">2021; April</w:t>
      </w:r>
      <w:r xml:space="preserve">
        <w:t> </w:t>
      </w:r>
      <w:r>
        <w:t xml:space="preserve">21,</w:t>
      </w:r>
      <w:r xml:space="preserve">
        <w:t> </w:t>
      </w:r>
      <w:r>
        <w:t xml:space="preserve">2021, read first time and referred to Committee on Water, Agriculture &amp; Rural Affairs; May</w:t>
      </w:r>
      <w:r xml:space="preserve">
        <w:t> </w:t>
      </w:r>
      <w:r>
        <w:t xml:space="preserve">4,</w:t>
      </w:r>
      <w:r xml:space="preserve">
        <w:t> </w:t>
      </w:r>
      <w:r>
        <w:t xml:space="preserve">2021, reported favorably by the following vote:</w:t>
      </w:r>
      <w:r>
        <w:t xml:space="preserve"> </w:t>
      </w:r>
      <w:r>
        <w:t xml:space="preserve"> </w:t>
      </w:r>
      <w:r>
        <w:t xml:space="preserve">Yeas 7, Nays 0; May</w:t>
      </w:r>
      <w:r xml:space="preserve">
        <w:t> </w:t>
      </w:r>
      <w:r>
        <w:t xml:space="preserve">4,</w:t>
      </w:r>
      <w:r xml:space="preserve">
        <w:t> </w:t>
      </w:r>
      <w:r>
        <w:t xml:space="preserve">2021,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Perry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Springer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Creighton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Eckhardt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Gutierrez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Johnson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Kolkhorst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Powell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Taylor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F3435"/>
    <w:p w:rsidR="003F3435" w:rsidRDefault="0032493E">
      <w:pPr>
        <w:spacing w:line="480" w:lineRule="auto"/>
        <w:jc w:val="both"/>
      </w:pPr>
      <w:r>
        <w:t xml:space="preserve">relating to the taking of unbanded pen-reared pheasant and quail by certain landowners.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Chapter 42, Parks and Wildlife Code, is amended by adding Section 42.0211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42.0211.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TAKING OF UNBANDED PEN-REARED PHEASANT OR QUAIL BY CERTAIN LANDOWNERS.  (a)  This section applies only to: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noncommercial activity;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taking of pheasant or quail on a property of at least five contiguous acres.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Notwithstanding any other law requiring the banding of a bird, a person, or the person's guest when accompanied by the person, may take on the person's property unbanded pen-reared pheasant or quail.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Nothing in this section: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affects the requirement to acquire a license under Section 45.001 for the propagation of game birds;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authorizes a person to: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exceed a bag limit for pheasant or quail;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take pheasant or quail during a closed season.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2021.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1699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