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87R3024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H.B.</w:t>
      </w:r>
      <w:r xml:space="preserve">
        <w:t> </w:t>
      </w:r>
      <w:r>
        <w:t xml:space="preserve">No.</w:t>
      </w:r>
      <w:r xml:space="preserve">
        <w:t> </w:t>
      </w:r>
      <w:r>
        <w:t xml:space="preserve">1702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lobbying by former members of the legislature;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572, Government Code, is amended by adding Section 572.062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572.062.</w:t>
      </w:r>
      <w:r>
        <w:rPr>
          <w:u w:val="single"/>
        </w:rPr>
        <w:t xml:space="preserve"> </w:t>
      </w:r>
      <w:r>
        <w:rPr>
          <w:u w:val="single"/>
        </w:rPr>
        <w:t xml:space="preserve"> </w:t>
      </w:r>
      <w:r>
        <w:rPr>
          <w:u w:val="single"/>
        </w:rPr>
        <w:t xml:space="preserve">FORMER LEGISLATOR: LOBBYING RESTRICTED; CRIMINAL OFFENSE. </w:t>
      </w:r>
      <w:r>
        <w:rPr>
          <w:u w:val="single"/>
        </w:rPr>
        <w:t xml:space="preserve"> </w:t>
      </w:r>
      <w:r>
        <w:rPr>
          <w:u w:val="single"/>
        </w:rPr>
        <w:t xml:space="preserve">(a) </w:t>
      </w:r>
      <w:r>
        <w:rPr>
          <w:u w:val="single"/>
        </w:rPr>
        <w:t xml:space="preserve"> </w:t>
      </w:r>
      <w:r>
        <w:rPr>
          <w:u w:val="single"/>
        </w:rPr>
        <w:t xml:space="preserve">In this section, "administrative action," "communicates directly with," "legislation," "member of the executive branch," and "member of the legislative branch" have the meanings assigned by Section 305.002.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former member of the legislature may not, before the date of final adjournment of the second regular session of the legislature to convene after the date the person ceases to be a member of the legislature, engage in activities that require registration under Chapter 305.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(b) does not apply to a former member of the legislature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communicates directly with a member of the legislative or executive branch only to influence legislation or administrative action on behalf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nonprofit organization that does not represent a political subdivision of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group of low-income individuals;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group of individuals with disabilities;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receive compensation other than reimbursement for actual expenses for engaging in communication described by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former member of the legislature who violates this section commits an offense. An offense under this section is a Class A misdemeanor.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572.062, Government Code, as added by this Act, applies only to a member of the legislature who ceases to be a member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