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specialty court program to provide victim services in sexual assault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w:t>
      </w:r>
      <w:r>
        <w:rPr>
          <w:u w:val="single"/>
        </w:rPr>
        <w:t xml:space="preserve"> </w:t>
      </w:r>
      <w:r>
        <w:rPr>
          <w:u w:val="single"/>
        </w:rPr>
        <w:t xml:space="preserve">SPECIALTY COURTS FOR VICTIM SERVICES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 who voluntarily agree to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 and judges with experience in hearing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assignment of eligible cases to the court designated under Section 141.002(b);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for victims participating in the program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voluntarily agree to be involved in the services provided to the participant under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prosecution of sexual assault offenses;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issuance of protective orders for victims on the victim's consent and as authorized by state law;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continued monitoring of sexual assault defendants through prosecution and adjudication and for the duration of convicted offenders' sentences.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victims of an alleged sexual assault in which a person is arrested for or charged with an offense under Chapter 21 or 22, Penal Code, committed against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agree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district and statutory county court judges of the county may designate a court in the county for assignment of cases described by Subsection (a).  The judge of the designated court must have experience hearing sexual assault cases under Chapter 21 or 22, Penal Code. </w:t>
      </w:r>
      <w:r>
        <w:rPr>
          <w:u w:val="single"/>
        </w:rPr>
        <w:t xml:space="preserve"> </w:t>
      </w:r>
      <w:r>
        <w:rPr>
          <w:u w:val="single"/>
        </w:rPr>
        <w:t xml:space="preserve">The prosecuting attorney for the court must have experience in prosecuting sexual assault offenses under Chapter 21 or 22,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voluntarily agrees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1706 was passed by the House on April 30, 2021, by the following vote:</w:t>
      </w:r>
      <w:r xml:space="preserve">
        <w:t> </w:t>
      </w:r>
      <w:r xml:space="preserve">
        <w:t> </w:t>
      </w:r>
      <w:r>
        <w:t xml:space="preserve">Yeas 129,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1706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