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87R6915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certain mental health professionals at a public school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 person may not be employed by a school district as an audiologist, occupational therapist, physical therapist, physician, nurse, school psychologist, associate school psychologist, licensed professional counselor, marriage and family therapist, social worker, </w:t>
      </w:r>
      <w:r>
        <w:rPr>
          <w:u w:val="single"/>
        </w:rPr>
        <w:t xml:space="preserve">psychiatric or mental health advanced practice nurse,  chemical dependency counselor,</w:t>
      </w:r>
      <w:r>
        <w:t xml:space="preserve"> or speech language pathologist unless the person is licensed by the state agency that licenses that profession and may perform specific services within those professions for a school district only if the person holds the appropriate credential from the appropriate state agency. As long as a person employed by a district before September 1, 2011, to perform marriage and family therapy, as defined by Section 502.002, Occupations Code, is employed by the same district, the person is not required to hold a license as a marriage and family therapist to perform marriage and family therapy with that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33, Education Code, is amended by adding Section 33.911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33.911.</w:t>
      </w:r>
      <w:r>
        <w:rPr>
          <w:u w:val="single"/>
        </w:rPr>
        <w:t xml:space="preserve"> </w:t>
      </w:r>
      <w:r>
        <w:rPr>
          <w:u w:val="single"/>
        </w:rPr>
        <w:t xml:space="preserve"> </w:t>
      </w:r>
      <w:r>
        <w:rPr>
          <w:u w:val="single"/>
        </w:rPr>
        <w:t xml:space="preserve">LICENSED MENTAL HEALTH PROFESSIONAL.  (a) </w:t>
      </w:r>
      <w:r>
        <w:rPr>
          <w:u w:val="single"/>
        </w:rPr>
        <w:t xml:space="preserve"> </w:t>
      </w:r>
      <w:r>
        <w:rPr>
          <w:u w:val="single"/>
        </w:rPr>
        <w:t xml:space="preserve">In this section, "mental health professional" has the meaning assigned by Section 61.601.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with 500 or more students in average daily attendance shall employ a mental health professional for every 500 students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with fewer than 500 students in average daily attendance shall provide mental health services to students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employing a part-time mental health professional;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part-time teacher licensed as a mental health professional;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into a shared services arrangement agreement with one or more school districts to share the services of a mental health professional.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mental health professional employed by a school district is subject to the professional standard of care applicable to the mental health professional's licensure.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mental health professional may provide services to a student only if the school district obtains the written consent of the student's parent or guardian or another person having legal control of the student on a consent form developed by the district. </w:t>
      </w:r>
      <w:r>
        <w:rPr>
          <w:u w:val="single"/>
        </w:rPr>
        <w:t xml:space="preserve"> </w:t>
      </w:r>
      <w:r>
        <w:rPr>
          <w:u w:val="single"/>
        </w:rPr>
        <w:t xml:space="preserve">The student's parent or guardian or another person having legal control of the student may give consent for a student to receive ongoing services or may limit consent to one or more services provided on a single occasion.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consent form must be in a format that complies with all applicable state and federal laws and allows a person to consent to one or more categories of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school district shall employ or obtain the services of a mental health professional, as required by Section 33.911,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