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liability of the attorney general for certain frivolous lawsuits.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402, Government Code, is amended by adding Section 402.011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402.011.</w:t>
      </w:r>
      <w:r>
        <w:rPr>
          <w:u w:val="single"/>
        </w:rPr>
        <w:t xml:space="preserve"> </w:t>
      </w:r>
      <w:r>
        <w:rPr>
          <w:u w:val="single"/>
        </w:rPr>
        <w:t xml:space="preserve"> </w:t>
      </w:r>
      <w:r>
        <w:rPr>
          <w:u w:val="single"/>
        </w:rPr>
        <w:t xml:space="preserve">PERSONAL LIABILITY OF ATTORNEY GENERAL FOR FRIVOLOUS ACTION.  (a)  In this section, "frivolous civil action" means a civil cause of action to which the state is a party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prosecuted by the attorney general in a court of another state or in federal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which the cause is filed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 basis in fact;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warranted by existing law or a good faith argument for the extension, modification, or reversal of existing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attorney general is personally liable to the state for the total cost of prosecution by the attorney general of a frivolous civil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180th day after the date the court makes a determination described by Subsection (a)(2), the attorney general shall pay into the state treasury the amount described by Subsection (b), as determined by the comptroller, using the attorney general's personal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not assert official immunity or any other form of immunity as a defense against liability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request information necessary to determine the amount described by Subsection (b) from the office of the attorney general.  The office of the attorney general shall provide the requested information in a reasonable amount of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402.011, Government Code, as added by this Act, applies only to a cause of action filed on or after the effective date of this Act.  A cause of action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