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87R6358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Commission on Environmental Quality of air contaminants in residential areas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382, Health and Safety Code, is amended by adding Section 382.0162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382.0162.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 POLLUTION STUDY IN CERTAIN COUNTIES.  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county with a population of more than 800,000 in which a permanent concrete plant is located less than one mile from any building used as a single or multifamily residence in the unincorporated area of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conduct an annual study of air contaminant levels in residential areas in the unincorporated area of a county that are located less than 500 feet from an industrial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air contaminants studied must include those included on the air pollutant watch list described by Section 382.0161.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report the results of each study to the commissioners court of each county included in the study.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Texas Commission on Environmental Quality shall begin the first study required by Section 382.0162, Health and Safety Code, as added by this Act, not later than December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