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87R6107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1743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personal information sold by a state agency to a contractor;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2054, Government Code, is amended by adding Section 2054.1126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2054.1126.</w:t>
      </w:r>
      <w:r>
        <w:rPr>
          <w:u w:val="single"/>
        </w:rPr>
        <w:t xml:space="preserve"> </w:t>
      </w:r>
      <w:r>
        <w:rPr>
          <w:u w:val="single"/>
        </w:rPr>
        <w:t xml:space="preserve"> </w:t>
      </w:r>
      <w:r>
        <w:rPr>
          <w:u w:val="single"/>
        </w:rPr>
        <w:t xml:space="preserve">SECURITY BREACH BY STATE AGENCY CONTRACTOR; DEBARMENT; CIVIL PENALTY.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"Breach of system security" has the meaning assigned by Section 521.053, Business &amp; Commerce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"Sensitive personal information" has the meaning assigned by Section 521.002,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that owns, licenses, or maintains computerized data that includes sensitive personal information, confidential information, or information the disclosure of which is regulated by law may sell that data to a contractor only if the sale is authorized under other law and the sale contract includes a statement that the contractor: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comply with the notification requirements of Section 521.053, Business &amp; Commerce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notify the state agency not later than 48 hours after the discovery of the breach of system security, suspected breach of system security, or unauthorized exposure;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assist each person whose personal information was exposed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protecting the person from identity theft;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protecting or restoring the person's credit rating;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 pay any civil penalty assessed against the contractor;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acknowledges that the contractor's failure to comply with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constitutes a default of the contract on notice from the state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subject the contractor to debarment from contracting with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that determines a contractor has not complied with this section shall refer the matter to the comptroller for action. </w:t>
      </w:r>
      <w:r>
        <w:rPr>
          <w:u w:val="single"/>
        </w:rPr>
        <w:t xml:space="preserve"> </w:t>
      </w:r>
      <w:r>
        <w:rPr>
          <w:u w:val="single"/>
        </w:rPr>
        <w:t xml:space="preserve">The comptroller shall bar the contractor from contracting with the state using procedures prescribed under Section 2155.077. </w:t>
      </w:r>
      <w:r>
        <w:rPr>
          <w:u w:val="single"/>
        </w:rPr>
        <w:t xml:space="preserve"> </w:t>
      </w:r>
      <w:r>
        <w:rPr>
          <w:u w:val="single"/>
        </w:rPr>
        <w:t xml:space="preserve">Debarment under this subsection expires on the third anniversary of the date of the debarment.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contractor who obtains from a state agency computerized data that includes sensitive personal information, confidential information, or information the disclosure of which is regulated by law is liable to this state for a civil penalty imposed in accordance with Section 521.151, Business &amp; Commerce Code, for a breach of system security or an unauthorized exposure of that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2054.1126, Government Code, as added by this Act, applies only to a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