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87R4484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Bailes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to a policy owner regarding changes affecting a life insurance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1101, Insurance Code, is amended by adding Subchapter H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H. REQUIRED DISCLOSURES AND NOTICES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1101.351.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REQUIREMENT FOR OWNER POLICY CHANGES.  On a request by a policy owner to make a change affecting the owner's life insurance policy, the insurer shall provide to the owner a written notice stating: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the owner should consult with a licensed insurance agent or financial advisor before making the change;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the owner may contact the department for more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department's Internet website address or another manner by which the owner may contact the department.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