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87R6834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recommendation by the COVID-19 Expert Vaccine Allocation Panel to prioritize first responders in vaccine allocation and distribution.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161.007065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161.007065.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EXPERT VACCINE ALLOCATION PANEL; PRIORITIZATION OF FIRST RESPONDERS. (a) The COVID-19 Expert Vaccine Allocation Panel convened to develop for the commissioner recommendations for the allocation of COVID-19 vaccines shall  prioritize the allocation and distribution of vaccines for first responders,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peace officers, as defined by Article 2.12, Code of Criminal Procedure;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firefighters, including volunteer firefighters;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medical services personnel certified under Chapter 773.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January 1, 2023.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