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1305.501, Insurance Code;</w:t>
      </w:r>
    </w:p>
    <w:p w:rsidR="003F3435" w:rsidRDefault="0032493E">
      <w:pPr>
        <w:spacing w:line="480" w:lineRule="auto"/>
        <w:ind w:firstLine="1440"/>
        <w:jc w:val="both"/>
      </w:pPr>
      <w:r>
        <w:t xml:space="preserve">(2)</w:t>
      </w:r>
      <w:r xml:space="preserve">
        <w:t> </w:t>
      </w:r>
      <w:r xml:space="preserve">
        <w:t> </w:t>
      </w:r>
      <w:r>
        <w:t xml:space="preserve">Section 2053.012, Insurance Code; and</w:t>
      </w:r>
    </w:p>
    <w:p w:rsidR="003F3435" w:rsidRDefault="0032493E">
      <w:pPr>
        <w:spacing w:line="480" w:lineRule="auto"/>
        <w:ind w:firstLine="1440"/>
        <w:jc w:val="both"/>
      </w:pPr>
      <w:r>
        <w:t xml:space="preserve">(3)</w:t>
      </w:r>
      <w:r xml:space="preserve">
        <w:t> </w:t>
      </w:r>
      <w:r xml:space="preserve">
        <w:t> </w:t>
      </w:r>
      <w:r>
        <w:t xml:space="preserve">Sections 405.0025(b) and (c), Labor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1753 was passed by the House on May 7,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1753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