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suicide prevention information on certain student identification cards issued by a public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38, Education Code, is amended by adding Section 38.353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 REQUIRED ON CERTAIN STUDENT IDENTIFICATION CARDS.  Each student identification card issued by a public school to a student in grade six or higher: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have printed on the card the contact information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Suicide Prevention Lifeline;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Crisis Text Line;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have printed on the card the contact information for a local suicide prevention hotline, if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38.353, Education Code, as added by this Act, applies beginning with student identification cards issued for the 2022-2023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