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87R2387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by political subdivisions regarding the receipt or expenditure of federal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RECEIPT AND EXPENDITURE OF FEDERAL FUNDS.  A political subdivision that receives or expends a federal grant or other federal funds that have not been appropriated by the legislature shall report to the Legislative Budget Board, the comptroller, and the governor not later than the 150th day of the political subdivision's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federal funds received or expended in the previous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or proposed use of those federal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