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87R2387 JTS-F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Krause</w:t>
      </w:r>
      <w:r xml:space="preserve">
        <w:tab wTab="150" tlc="none" cTlc="0"/>
      </w:r>
      <w:r>
        <w:t xml:space="preserve">H.B.</w:t>
      </w:r>
      <w:r xml:space="preserve">
        <w:t> </w:t>
      </w:r>
      <w:r>
        <w:t xml:space="preserve">No.</w:t>
      </w:r>
      <w:r xml:space="preserve">
        <w:t> </w:t>
      </w:r>
      <w:r>
        <w:t xml:space="preserve">1760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reporting by political subdivisions regarding the receipt or expenditure of federal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140.013.</w:t>
      </w:r>
      <w:r>
        <w:rPr>
          <w:u w:val="single"/>
        </w:rPr>
        <w:t xml:space="preserve"> </w:t>
      </w:r>
      <w:r>
        <w:rPr>
          <w:u w:val="single"/>
        </w:rPr>
        <w:t xml:space="preserve"> </w:t>
      </w:r>
      <w:r>
        <w:rPr>
          <w:u w:val="single"/>
        </w:rPr>
        <w:t xml:space="preserve">RECEIPT AND EXPENDITURE OF FEDERAL FUNDS.  A political subdivision that receives or expends a federal grant or other federal funds that have not been appropriated by the legislature shall report to the Legislative Budget Board, the comptroller, and the governor not later than the 150th day of the political subdivision's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federal funds received or expended in the previous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or proposed use of those federal funds.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