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1763 was passed by the House on April 27,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1763 was passed by the Senate on May 13,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