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on the campuses of and certain other locations associated with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411.2031(e),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institution of higher education or</w:t>
      </w:r>
      <w:r>
        <w:t xml:space="preserve"> [</w:t>
      </w:r>
      <w:r>
        <w:rPr>
          <w:strike/>
        </w:rPr>
        <w:t xml:space="preserve">A</w:t>
      </w:r>
      <w:r>
        <w:t xml:space="preserve">] private or independent institution of higher education in this state, after consulting with students, staff, and faculty of the institution, may establish rules, regulations, or other provisions prohibiting license holders from carrying handguns on the campus of the institution, any grounds or building on which an activity sponsored by the institution is being conducted, or a passenger transportation vehicle owned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46.035(a-2), (h), and (j), Penal Code, are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license holder commits an offense if the license holder carries a handgun on the campus of </w:t>
      </w:r>
      <w:r>
        <w:rPr>
          <w:u w:val="single"/>
        </w:rPr>
        <w:t xml:space="preserve">an institution of higher education or</w:t>
      </w:r>
      <w:r>
        <w:t xml:space="preserve"> [</w:t>
      </w:r>
      <w:r>
        <w:rPr>
          <w:strike/>
        </w:rPr>
        <w:t xml:space="preserve">a</w:t>
      </w:r>
      <w:r>
        <w:t xml:space="preserve">]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(a-1), </w:t>
      </w:r>
      <w:r>
        <w:rPr>
          <w:u w:val="single"/>
        </w:rPr>
        <w:t xml:space="preserve">or</w:t>
      </w:r>
      <w:r>
        <w:t xml:space="preserve"> (a-2)[</w:t>
      </w:r>
      <w:r>
        <w:rPr>
          <w:strike/>
        </w:rPr>
        <w:t xml:space="preserve">, or (a-3)</w:t>
      </w:r>
      <w:r>
        <w:t xml:space="preserve">]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(j)</w:t>
      </w:r>
      <w:r xml:space="preserve">
        <w:t> </w:t>
      </w:r>
      <w:r xml:space="preserve">
        <w:t> </w:t>
      </w:r>
      <w:r>
        <w:t xml:space="preserve">Subsections (a), (a-1), (a-2), [</w:t>
      </w:r>
      <w:r>
        <w:rPr>
          <w:strike/>
        </w:rPr>
        <w:t xml:space="preserve">(a-3),</w:t>
      </w:r>
      <w:r>
        <w:t xml:space="preserve">] and (b)(1) do not apply to a historical reenactment performed in compliance with the rules of the Texas Alcoholic Beverage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411.2031(c), (d-1), (d-2), (d-3), and (d-4), Government Code; and</w:t>
      </w:r>
    </w:p>
    <w:p w:rsidR="003F3435" w:rsidRDefault="0032493E">
      <w:pPr>
        <w:spacing w:line="480" w:lineRule="auto"/>
        <w:ind w:firstLine="1440"/>
        <w:jc w:val="both"/>
      </w:pPr>
      <w:r>
        <w:t xml:space="preserve">(2)</w:t>
      </w:r>
      <w:r xml:space="preserve">
        <w:t> </w:t>
      </w:r>
      <w:r xml:space="preserve">
        <w:t> </w:t>
      </w:r>
      <w:r>
        <w:t xml:space="preserve">Section 46.035(a-3),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411.208, Government Code, as amended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