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87R3013 JSC-F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Anchia</w:t>
      </w:r>
      <w:r xml:space="preserve">
        <w:tab wTab="150" tlc="none" cTlc="0"/>
      </w:r>
      <w:r>
        <w:t xml:space="preserve">H.B.</w:t>
      </w:r>
      <w:r xml:space="preserve">
        <w:t> </w:t>
      </w:r>
      <w:r>
        <w:t xml:space="preserve">No.</w:t>
      </w:r>
      <w:r xml:space="preserve">
        <w:t> </w:t>
      </w:r>
      <w:r>
        <w:t xml:space="preserve">1770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certain municipalities to regulate locations at which a license holder may openly carry a handgun.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229.001, Local Government Code, is amended by adding Subsection (b-2) to read as follows: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Subsection (a) does not affect the authority of a municipality under Section 229.005 to regulate the open carrying of a handgun as provided by that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229, Local Government Code, is amended by adding Section 229.005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229.005.</w:t>
      </w:r>
      <w:r>
        <w:rPr>
          <w:u w:val="single"/>
        </w:rPr>
        <w:t xml:space="preserve"> </w:t>
      </w:r>
      <w:r>
        <w:rPr>
          <w:u w:val="single"/>
        </w:rPr>
        <w:t xml:space="preserve"> </w:t>
      </w:r>
      <w:r>
        <w:rPr>
          <w:u w:val="single"/>
        </w:rPr>
        <w:t xml:space="preserve">REGULATION OF OPEN CARRYING OF HANDGUN BY CERTAIN MUNICIPALITIES.  (a)</w:t>
      </w:r>
      <w:r>
        <w:rPr>
          <w:u w:val="single"/>
        </w:rPr>
        <w:t xml:space="preserve"> </w:t>
      </w:r>
      <w:r>
        <w:rPr>
          <w:u w:val="single"/>
        </w:rPr>
        <w:t xml:space="preserve"> </w:t>
      </w:r>
      <w:r>
        <w:rPr>
          <w:u w:val="single"/>
        </w:rPr>
        <w:t xml:space="preserve">This section applies only to a municipality with a population of more than 750,000.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a municipality described by Subsection (a) shall order an election to be held on the question of whether to prohibit a license holder under Subchapter H, Chapter 411, Government Code, from carrying a wholly or partially visible handgun within the corporate boundaries of the municipality if a petition requesting the election is submitted to the governing body and is signed by a number of registered voters of the municipality equal to at least 10 percent of the number of voters participating in the last general election held in the municipality.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election under this section must be held on the first authorized uniform election date prescribed by Chapter 41, Election Code, that occurs after the date the election is ordered and that allows sufficient time to comply with other requirements of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ballot in an election under this section shall be printed to provide for voting for or against the proposition: "Prohibiting a handgun license holder from openly carrying a handgun within the city limits of _______________ (name of municipality)."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majority of those voting at the election vote in favor of the proposition, the governing body of the municipality shall adopt an ordinance prohibiting a handgun license holder from carrying a wholly or partially visible handgun within the corporate boundaries of the municipality.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46.035, Penal Code, is amended by adding Subsection (n) to read as follows:</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exception provided by Subsection (a) is not available to a license holder who is carrying a partially or wholly visible handgun in a municipality with an ordinance that was adopted under Section 229.005, Local Government Code, and is in effect at the time of the offense.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in adding Section 46.035(n), Penal Code,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