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87R3015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1772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given by a property owner prohibiting a handgun license holder from carrying a handgun on the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30.06(c)(3), Penal Code, is amended to read as follows:</w:t>
      </w:r>
    </w:p>
    <w:p w:rsidR="003F3435" w:rsidRDefault="0032493E">
      <w:pPr>
        <w:spacing w:line="480" w:lineRule="auto"/>
        <w:ind w:firstLine="1440"/>
        <w:jc w:val="both"/>
      </w:pPr>
      <w:r>
        <w:t xml:space="preserve">(3)</w:t>
      </w:r>
      <w:r xml:space="preserve">
        <w:t> </w:t>
      </w:r>
      <w:r xml:space="preserve">
        <w:t> </w:t>
      </w:r>
      <w:r>
        <w:t xml:space="preserve">"Written communication" means:</w:t>
      </w:r>
    </w:p>
    <w:p w:rsidR="003F3435" w:rsidRDefault="0032493E">
      <w:pPr>
        <w:spacing w:line="480" w:lineRule="auto"/>
        <w:ind w:firstLine="2160"/>
        <w:jc w:val="both"/>
      </w:pPr>
      <w:r>
        <w:t xml:space="preserve">(A)</w:t>
      </w:r>
      <w:r xml:space="preserve">
        <w:t> </w:t>
      </w:r>
      <w:r xml:space="preserve">
        <w:t> </w:t>
      </w:r>
      <w:r>
        <w:t xml:space="preserve">a card or other document on which is written language identical to the following:</w:t>
      </w:r>
      <w:r xml:space="preserve">
        <w:t> </w:t>
      </w:r>
      <w:r xml:space="preserve">
        <w:t> </w:t>
      </w:r>
      <w:r>
        <w:t xml:space="preserve">"Pursuant to Section 30.06, Penal Code (trespass by license holder with a concealed handgun), a person licensed under Subchapter H, Chapter 411, Government Code (handgun licensing law), may not enter this property with a concealed handgun";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 card or other document on which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written language identical to the following: "Pursuant to Section 30.06, Penal Code, Concealed Carry of Handguns Prohibited";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pictogram that shows a handgun within a circle and a diagonal line across the handgun;</w:t>
      </w:r>
    </w:p>
    <w:p w:rsidR="003F3435" w:rsidRDefault="0032493E">
      <w:pPr>
        <w:spacing w:line="480" w:lineRule="auto"/>
        <w:ind w:firstLine="2160"/>
        <w:jc w:val="both"/>
      </w:pPr>
      <w:r>
        <w:rPr>
          <w:u w:val="single"/>
        </w:rPr>
        <w:t xml:space="preserve">(C)</w:t>
      </w:r>
      <w:r xml:space="preserve">
        <w:t> </w:t>
      </w:r>
      <w:r xml:space="preserve">
        <w:t> </w:t>
      </w:r>
      <w:r>
        <w:t xml:space="preserve">a sign posted on the property that:</w:t>
      </w:r>
    </w:p>
    <w:p w:rsidR="003F3435" w:rsidRDefault="0032493E">
      <w:pPr>
        <w:spacing w:line="480" w:lineRule="auto"/>
        <w:ind w:firstLine="2880"/>
        <w:jc w:val="both"/>
      </w:pPr>
      <w:r>
        <w:t xml:space="preserve">(i)</w:t>
      </w:r>
      <w:r xml:space="preserve">
        <w:t> </w:t>
      </w:r>
      <w:r xml:space="preserve">
        <w:t> </w:t>
      </w:r>
      <w:r>
        <w:t xml:space="preserve">includes the language described by Paragraph (A) in both English and Spanish;</w:t>
      </w:r>
    </w:p>
    <w:p w:rsidR="003F3435" w:rsidRDefault="0032493E">
      <w:pPr>
        <w:spacing w:line="480" w:lineRule="auto"/>
        <w:ind w:firstLine="2880"/>
        <w:jc w:val="both"/>
      </w:pPr>
      <w:r>
        <w:t xml:space="preserve">(ii)</w:t>
      </w:r>
      <w:r xml:space="preserve">
        <w:t> </w:t>
      </w:r>
      <w:r xml:space="preserve">
        <w:t> </w:t>
      </w:r>
      <w:r>
        <w:t xml:space="preserve">appears in contrasting colors with block letters at least one inch in height; and</w:t>
      </w:r>
    </w:p>
    <w:p w:rsidR="003F3435" w:rsidRDefault="0032493E">
      <w:pPr>
        <w:spacing w:line="480" w:lineRule="auto"/>
        <w:ind w:firstLine="2880"/>
        <w:jc w:val="both"/>
      </w:pPr>
      <w:r>
        <w:t xml:space="preserve">(iii)</w:t>
      </w:r>
      <w:r xml:space="preserve">
        <w:t> </w:t>
      </w:r>
      <w:r xml:space="preserve">
        <w:t> </w:t>
      </w:r>
      <w:r>
        <w:t xml:space="preserve">is displayed in a conspicuous manner clearly visible to the public</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sign posted on the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language described by Paragraph (B)(i) in both English and Spanish;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pictogram described by Paragraph (B)(ii);</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appears in contrasting colors with block letters at least one inch in height;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displayed in a conspicuous manner clearly visible to the public</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30.07(c)(3), Penal Code, is amended to read as follows:</w:t>
      </w:r>
    </w:p>
    <w:p w:rsidR="003F3435" w:rsidRDefault="0032493E">
      <w:pPr>
        <w:spacing w:line="480" w:lineRule="auto"/>
        <w:ind w:firstLine="1440"/>
        <w:jc w:val="both"/>
      </w:pPr>
      <w:r>
        <w:t xml:space="preserve">(3)</w:t>
      </w:r>
      <w:r xml:space="preserve">
        <w:t> </w:t>
      </w:r>
      <w:r xml:space="preserve">
        <w:t> </w:t>
      </w:r>
      <w:r>
        <w:t xml:space="preserve">"Written communication" means:</w:t>
      </w:r>
    </w:p>
    <w:p w:rsidR="003F3435" w:rsidRDefault="0032493E">
      <w:pPr>
        <w:spacing w:line="480" w:lineRule="auto"/>
        <w:ind w:firstLine="2160"/>
        <w:jc w:val="both"/>
      </w:pPr>
      <w:r>
        <w:t xml:space="preserve">(A)</w:t>
      </w:r>
      <w:r xml:space="preserve">
        <w:t> </w:t>
      </w:r>
      <w:r xml:space="preserve">
        <w:t> </w:t>
      </w:r>
      <w:r>
        <w:t xml:space="preserve">a card or other document on which is written language identical to the following:</w:t>
      </w:r>
      <w:r xml:space="preserve">
        <w:t> </w:t>
      </w:r>
      <w:r xml:space="preserve">
        <w:t> </w:t>
      </w:r>
      <w:r>
        <w:t xml:space="preserve">"Pursuant to Section 30.07, Penal Code (trespass by license holder with an openly carried handgun), a person licensed under Subchapter H, Chapter 411, Government Code (handgun licensing law), may not enter this property with a handgun that is carried openly";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 card or other document on which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written language identical to the following: "Pursuant to Section 30.07, Penal Code, Open Carry of Handguns Prohibited";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pictogram that shows a handgun within a circle and a diagonal line across the handgun;</w:t>
      </w:r>
    </w:p>
    <w:p w:rsidR="003F3435" w:rsidRDefault="0032493E">
      <w:pPr>
        <w:spacing w:line="480" w:lineRule="auto"/>
        <w:ind w:firstLine="2160"/>
        <w:jc w:val="both"/>
      </w:pPr>
      <w:r>
        <w:rPr>
          <w:u w:val="single"/>
        </w:rPr>
        <w:t xml:space="preserve">(C)</w:t>
      </w:r>
      <w:r xml:space="preserve">
        <w:t> </w:t>
      </w:r>
      <w:r xml:space="preserve">
        <w:t> </w:t>
      </w:r>
      <w:r>
        <w:t xml:space="preserve">a sign posted on the property that:</w:t>
      </w:r>
    </w:p>
    <w:p w:rsidR="003F3435" w:rsidRDefault="0032493E">
      <w:pPr>
        <w:spacing w:line="480" w:lineRule="auto"/>
        <w:ind w:firstLine="2880"/>
        <w:jc w:val="both"/>
      </w:pPr>
      <w:r>
        <w:t xml:space="preserve">(i)</w:t>
      </w:r>
      <w:r xml:space="preserve">
        <w:t> </w:t>
      </w:r>
      <w:r xml:space="preserve">
        <w:t> </w:t>
      </w:r>
      <w:r>
        <w:t xml:space="preserve">includes the language described by Paragraph (A) in both English and Spanish;</w:t>
      </w:r>
    </w:p>
    <w:p w:rsidR="003F3435" w:rsidRDefault="0032493E">
      <w:pPr>
        <w:spacing w:line="480" w:lineRule="auto"/>
        <w:ind w:firstLine="2880"/>
        <w:jc w:val="both"/>
      </w:pPr>
      <w:r>
        <w:t xml:space="preserve">(ii)</w:t>
      </w:r>
      <w:r xml:space="preserve">
        <w:t> </w:t>
      </w:r>
      <w:r xml:space="preserve">
        <w:t> </w:t>
      </w:r>
      <w:r>
        <w:t xml:space="preserve">appears in contrasting colors with block letters at least one inch in height; and</w:t>
      </w:r>
    </w:p>
    <w:p w:rsidR="003F3435" w:rsidRDefault="0032493E">
      <w:pPr>
        <w:spacing w:line="480" w:lineRule="auto"/>
        <w:ind w:firstLine="2880"/>
        <w:jc w:val="both"/>
      </w:pPr>
      <w:r>
        <w:t xml:space="preserve">(iii)</w:t>
      </w:r>
      <w:r xml:space="preserve">
        <w:t> </w:t>
      </w:r>
      <w:r xml:space="preserve">
        <w:t> </w:t>
      </w:r>
      <w:r>
        <w:t xml:space="preserve">is displayed in a conspicuous manner clearly visible to the public at each entrance to the property</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sign posted on the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language described by Paragraph (B)(i) in both English and Spanish;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pictogram described by Paragraph (B)(ii);</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appears in contrasting colors with block letters at least one inch in height;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displayed in a conspicuous manner clearly visible to the public</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