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87R6982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propagation of breeder deer by cloning.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43.357, Parks and Wildlife Code, is amended by amending Subsections (a) and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holder of a valid deer breeder's permit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 in the business of breeding breeder deer</w:t>
      </w:r>
      <w:r>
        <w:rPr>
          <w:u w:val="single"/>
        </w:rPr>
        <w:t xml:space="preserve">, including the propagation of breeder deer by cloning,</w:t>
      </w:r>
      <w:r>
        <w:t xml:space="preserve"> in the immediate locality for which the permit was issued;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sell, transfer to another person, or hold in captivity live breeder deer for the purpose of propagation 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 make regulations governing: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possession of breeder deer held under the authority of this subchapter;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recapture of lawfully possessed breeder deer that have escaped from the facility of a deer breeder;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permit applications and fees;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reporting requirements;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procedures and requirements for the purchase, transfer, sale, or shipment of breeder deer;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endorsement of a deer breeder facility by a certified wildlife biologist;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number of breeder deer that a deer breeder may possess;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dates for which a deer breeder permit is valid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propagation of breeder deer by cloning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