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87R970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1782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alternative base periods for the computation of unemployment compensation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201, Labor Code, is amended by adding Section 201.013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201.013.</w:t>
      </w:r>
      <w:r>
        <w:rPr>
          <w:u w:val="single"/>
        </w:rPr>
        <w:t xml:space="preserve"> </w:t>
      </w:r>
      <w:r>
        <w:rPr>
          <w:u w:val="single"/>
        </w:rPr>
        <w:t xml:space="preserve"> </w:t>
      </w:r>
      <w:r>
        <w:rPr>
          <w:u w:val="single"/>
        </w:rPr>
        <w:t xml:space="preserve">DEFINITION OF BASE PERIOD; ALTERNATIVE BASE PERIODS.  (a)  For purposes of this subtitle and subject to this section, an individual's base period is the four consecutive completed calendar quarters, prescribed by the commission, in the five consecutive completed calendar quarters preceding the first day of an individual's benefit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individual precluded because of a medically verifiable illness or injury from working during a major part of a calendar quarter of the period that would otherwise be the individual's base period under Subsection (a), the base period is the first four calendar quarters of the five consecutive calendar quarters preceding the calendar quarter in which the illness began or the injury occurred if the individual files an initial claim for benefits not later than 24 months after the date on which the individual's illness or injury began or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individual who does not have sufficient benefit wage credits to qualify for benefits under the computation of the base period as provided by Subsection (a) or (b), the base period is the four most recently completed calendar quarters preceding the first day of the individual's benefit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establishing qualifications for benefits under the base period computation provided under Subsection (c), an individual for whom wage information for the most recent calendar quarter is not yet accessible to or obtainable by the commission may demonstrate that qualification by providing an affidavit supported by payroll documentation available to the individual for that calendar quarter. The commission by rule shall adopt a procedure for an individual to provide the affidavit and documentation permitted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201.011(1), Labor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eligibility for unemployment compensation benefits based on a claim that is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