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immunity from liability of public and private schools and security personnel employed by those schools for certain actions of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37.087.</w:t>
      </w:r>
      <w:r>
        <w:rPr>
          <w:u w:val="single"/>
        </w:rPr>
        <w:t xml:space="preserve"> </w:t>
      </w:r>
      <w:r>
        <w:rPr>
          <w:u w:val="single"/>
        </w:rPr>
        <w:t xml:space="preserve"> </w:t>
      </w:r>
      <w:r>
        <w:rPr>
          <w:u w:val="single"/>
        </w:rPr>
        <w:t xml:space="preserve">IMMUNITY FROM LIABILITY.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"Retired peace officer" has the meaning assigned by Section 1701.3161,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marshal;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resource officer;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retired peace officer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hired by a school district, open-enrollment charter school, or private school to provide security services;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volunteers to provide security services to the school district, open-enrollment charter school, or private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open-enrollment charter school, or private school is immune from liability for any damages resulting from any reasonable action taken by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open-enrollment charter school, or private school is immune from liability as provided by Subsection (b) for any damages resulting from any reasonable action taken by a school district, open-enrollment charter school, or private school employee who has written permission from the board of trustees of the school district or the governing body of the open-enrollment charter school or the private school to carry a firearm on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security personnel employed by a school district, open-enrollment charter school, or private school is immune from liability for any damages resulting from any reasonable action taken by the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statutory immunity provided by this section is in addition to and does not preempt the common law doctrine of official and governmental immunity.  To the extent that another statute provides greater immunity to a school district, open-enrollment charter school, or private school than this section, that statute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1788 was passed by the House on April 20, 2021, by the following vote:</w:t>
      </w:r>
      <w:r xml:space="preserve">
        <w:t> </w:t>
      </w:r>
      <w:r xml:space="preserve">
        <w:t> </w:t>
      </w:r>
      <w:r>
        <w:t xml:space="preserve">Yeas 90, Nays 54,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1788 was passed by the Senate on May 22, 2021, by the following vote:</w:t>
      </w:r>
      <w:r xml:space="preserve">
        <w:t> </w:t>
      </w:r>
      <w:r xml:space="preserve">
        <w:t> </w:t>
      </w:r>
      <w:r>
        <w:t xml:space="preserve">Yeas 18, Nays 13.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