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provided to certain individuals on termination of the parent-child relationship and on placement of a child in the managing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161, Family Code, is amended by adding Section 161.2081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161.2081.</w:t>
      </w:r>
      <w:r>
        <w:rPr>
          <w:u w:val="single"/>
        </w:rPr>
        <w:t xml:space="preserve"> </w:t>
      </w:r>
      <w:r>
        <w:rPr>
          <w:u w:val="single"/>
        </w:rPr>
        <w:t xml:space="preserve"> </w:t>
      </w:r>
      <w:r>
        <w:rPr>
          <w:u w:val="single"/>
        </w:rPr>
        <w:t xml:space="preserve">NOTICE OF TERMINATION FOR CERTAIN RELATIVES.  Immediately after a court renders an order terminating the parent-child relationship in a suit filed by the Department of Family and Protective Services, the department shall notify each individual described by Section 102.006(c) who has been identified under Section 262.1095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parent-child relationship has been terminated;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has 90 days after the date the order is rendered to file an original suit or a suit for modification requesting managing conservatorship of the child in accordance with Section 102.006(c).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262.1095, Family Code, is amended by amending Subsections (a) and (b) and adding Subsection (d-1)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w:t>
      </w:r>
      <w:r>
        <w:rPr>
          <w:u w:val="single"/>
        </w:rPr>
        <w:t xml:space="preserve">in writing</w:t>
      </w:r>
      <w:r>
        <w:t xml:space="preserve">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third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(b)</w:t>
      </w:r>
      <w:r xml:space="preserve">
        <w:t> </w:t>
      </w:r>
      <w:r xml:space="preserve">
        <w:t> </w:t>
      </w:r>
      <w:r>
        <w:t xml:space="preserve">The information provided under Subsection (a) must:</w:t>
      </w:r>
    </w:p>
    <w:p w:rsidR="003F3435" w:rsidRDefault="0032493E">
      <w:pPr>
        <w:spacing w:line="480" w:lineRule="auto"/>
        <w:ind w:firstLine="1440"/>
        <w:jc w:val="both"/>
      </w:pPr>
      <w:r>
        <w:t xml:space="preserve">(1)</w:t>
      </w:r>
      <w:r xml:space="preserve">
        <w:t> </w:t>
      </w:r>
      <w:r xml:space="preserve">
        <w:t> </w:t>
      </w:r>
      <w:r>
        <w:t xml:space="preserve">state that the child has been removed from the child's home and is in the temporary managing conservatorship of the department;</w:t>
      </w:r>
    </w:p>
    <w:p w:rsidR="003F3435" w:rsidRDefault="0032493E">
      <w:pPr>
        <w:spacing w:line="480" w:lineRule="auto"/>
        <w:ind w:firstLine="1440"/>
        <w:jc w:val="both"/>
      </w:pPr>
      <w:r>
        <w:t xml:space="preserve">(2)</w:t>
      </w:r>
      <w:r xml:space="preserve">
        <w:t> </w:t>
      </w:r>
      <w:r xml:space="preserve">
        <w:t> </w:t>
      </w:r>
      <w:r>
        <w:t xml:space="preserve">explain the options available to the individual to participate in the care and placement of the child and the support of the child's family</w:t>
      </w:r>
      <w:r>
        <w:rPr>
          <w:u w:val="single"/>
        </w:rPr>
        <w:t xml:space="preserve">, the methods by which the individual may exercise those options, and any requirements the individual must satisfy to exercise those options,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 that the individual be evaluated by the Department of Family and Protective Services under Section 262.114 before the individual may serve as a substitute caregiver;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deadlines before which the individual must respond to exercise those options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identify the</w:t>
      </w:r>
      <w:r>
        <w:t xml:space="preserve"> </w:t>
      </w:r>
      <w:r>
        <w:t xml:space="preserve">[</w:t>
      </w:r>
      <w:r>
        <w:rPr>
          <w:strike/>
        </w:rPr>
        <w:t xml:space="preserve">state that some</w:t>
      </w:r>
      <w:r>
        <w:t xml:space="preserve">] options available to the individual </w:t>
      </w:r>
      <w:r>
        <w:rPr>
          <w:u w:val="single"/>
        </w:rPr>
        <w:t xml:space="preserve">that</w:t>
      </w:r>
      <w:r>
        <w:t xml:space="preserve"> may be lost if the individual fails to respond in a timely manner;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include, if applicable, the date, time, and location of the hearing under Subchapter C, Chapter 263</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information regarding the procedures and timeline for a suit affecting the parent-child relationship under this 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Immediately after the Department of Family and Protective Services identifies and locates an individual described by Subsection (a)(1), the department shall provide the information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affecting the parent-child relationship filed on or after the effective date of this Act. A suit affecting the parent-child relationship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